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AF234" w14:textId="49FC6BA8" w:rsidR="00470999" w:rsidRPr="002E6F6D" w:rsidRDefault="00742F33" w:rsidP="004256AA">
      <w:pPr>
        <w:jc w:val="center"/>
        <w:rPr>
          <w:b/>
          <w:bCs/>
          <w:lang w:val="es-BO"/>
        </w:rPr>
      </w:pPr>
      <w:r w:rsidRPr="002E6F6D">
        <w:rPr>
          <w:b/>
          <w:bCs/>
          <w:lang w:val="es-BO"/>
        </w:rPr>
        <w:t>ORGANIZACION DEL TRATADO DE COOPERACIÓN AMAZÓNICA (OTCA)</w:t>
      </w:r>
    </w:p>
    <w:p w14:paraId="510FAC88" w14:textId="419E0E9F" w:rsidR="006B1CCC" w:rsidRPr="002E6F6D" w:rsidRDefault="006B1CCC" w:rsidP="004256AA">
      <w:pPr>
        <w:jc w:val="center"/>
        <w:rPr>
          <w:b/>
          <w:bCs/>
          <w:lang w:val="es-BO"/>
        </w:rPr>
      </w:pPr>
    </w:p>
    <w:p w14:paraId="67A3D129" w14:textId="3EAE1496" w:rsidR="007C3DD5" w:rsidRPr="002E6F6D" w:rsidRDefault="007C3DD5" w:rsidP="004256AA">
      <w:pPr>
        <w:jc w:val="center"/>
        <w:rPr>
          <w:b/>
          <w:bCs/>
          <w:lang w:val="es-BO"/>
        </w:rPr>
      </w:pPr>
      <w:r w:rsidRPr="002E6F6D">
        <w:rPr>
          <w:b/>
          <w:bCs/>
          <w:lang w:val="es-BO"/>
        </w:rPr>
        <w:t>Segundo borrador, Noviembre 2020</w:t>
      </w:r>
    </w:p>
    <w:p w14:paraId="37589329" w14:textId="77777777" w:rsidR="007C3DD5" w:rsidRPr="002E6F6D" w:rsidRDefault="007C3DD5" w:rsidP="004256AA">
      <w:pPr>
        <w:jc w:val="center"/>
        <w:rPr>
          <w:b/>
          <w:bCs/>
          <w:lang w:val="es-BO"/>
        </w:rPr>
      </w:pPr>
    </w:p>
    <w:p w14:paraId="7CF43E16" w14:textId="4E87847B" w:rsidR="00470999" w:rsidRPr="002E6F6D" w:rsidRDefault="008C76F7" w:rsidP="004256AA">
      <w:pPr>
        <w:jc w:val="center"/>
        <w:rPr>
          <w:b/>
          <w:bCs/>
          <w:lang w:val="es-BO"/>
        </w:rPr>
      </w:pPr>
      <w:r w:rsidRPr="002E6F6D">
        <w:rPr>
          <w:b/>
          <w:bCs/>
          <w:lang w:val="es-BO"/>
        </w:rPr>
        <w:t xml:space="preserve">DOCUMENTO </w:t>
      </w:r>
      <w:r w:rsidR="00771A82" w:rsidRPr="002E6F6D">
        <w:rPr>
          <w:b/>
          <w:bCs/>
          <w:lang w:val="es-BO"/>
        </w:rPr>
        <w:t>DE ÁMBITO</w:t>
      </w:r>
      <w:r w:rsidRPr="002E6F6D">
        <w:rPr>
          <w:b/>
          <w:bCs/>
          <w:lang w:val="es-BO"/>
        </w:rPr>
        <w:t xml:space="preserve"> </w:t>
      </w:r>
      <w:r w:rsidR="00194220" w:rsidRPr="002E6F6D">
        <w:rPr>
          <w:b/>
          <w:bCs/>
          <w:lang w:val="es-BO"/>
        </w:rPr>
        <w:t>PARA</w:t>
      </w:r>
      <w:r w:rsidR="00771A82" w:rsidRPr="002E6F6D">
        <w:rPr>
          <w:b/>
          <w:bCs/>
          <w:lang w:val="es-BO"/>
        </w:rPr>
        <w:t xml:space="preserve"> UNA </w:t>
      </w:r>
      <w:r w:rsidRPr="002E6F6D">
        <w:rPr>
          <w:b/>
          <w:bCs/>
          <w:lang w:val="es-BO"/>
        </w:rPr>
        <w:t xml:space="preserve">EVALUACIÓN RÁPIDA </w:t>
      </w:r>
      <w:r w:rsidR="00E23FBC" w:rsidRPr="002E6F6D">
        <w:rPr>
          <w:b/>
          <w:bCs/>
          <w:lang w:val="es-BO"/>
        </w:rPr>
        <w:t xml:space="preserve">DE </w:t>
      </w:r>
      <w:r w:rsidRPr="002E6F6D">
        <w:rPr>
          <w:b/>
          <w:bCs/>
          <w:lang w:val="es-BO"/>
        </w:rPr>
        <w:t>LA</w:t>
      </w:r>
      <w:r w:rsidR="005B0143" w:rsidRPr="002E6F6D">
        <w:rPr>
          <w:b/>
          <w:bCs/>
          <w:lang w:val="es-BO"/>
        </w:rPr>
        <w:t xml:space="preserve"> </w:t>
      </w:r>
      <w:r w:rsidRPr="002E6F6D">
        <w:rPr>
          <w:b/>
          <w:bCs/>
          <w:lang w:val="es-BO"/>
        </w:rPr>
        <w:t>DIVERSIDAD BIOLOGICA Y SERVICIOS ECOSISTÉMICOS EN LA REGIÓN AMAZÓNICA</w:t>
      </w:r>
    </w:p>
    <w:p w14:paraId="0C8FDB79" w14:textId="77777777" w:rsidR="004256AA" w:rsidRPr="002E6F6D" w:rsidRDefault="004256AA" w:rsidP="004256AA">
      <w:pPr>
        <w:jc w:val="center"/>
        <w:rPr>
          <w:b/>
          <w:bCs/>
          <w:lang w:val="es-BO"/>
        </w:rPr>
      </w:pPr>
    </w:p>
    <w:p w14:paraId="71436861" w14:textId="711B8FD6" w:rsidR="00125A28" w:rsidRPr="002E6F6D" w:rsidRDefault="00125A28" w:rsidP="004256AA">
      <w:pPr>
        <w:pStyle w:val="PargrafodaLista"/>
        <w:numPr>
          <w:ilvl w:val="0"/>
          <w:numId w:val="1"/>
        </w:numPr>
        <w:spacing w:after="0" w:line="240" w:lineRule="auto"/>
        <w:ind w:left="426" w:hanging="426"/>
        <w:rPr>
          <w:rFonts w:ascii="Times New Roman" w:hAnsi="Times New Roman" w:cs="Times New Roman"/>
          <w:b/>
          <w:bCs/>
          <w:lang w:val="es-BO"/>
        </w:rPr>
      </w:pPr>
      <w:r w:rsidRPr="002E6F6D">
        <w:rPr>
          <w:rFonts w:ascii="Times New Roman" w:hAnsi="Times New Roman" w:cs="Times New Roman"/>
          <w:b/>
          <w:bCs/>
          <w:lang w:val="es-BO"/>
        </w:rPr>
        <w:t>Introducción</w:t>
      </w:r>
    </w:p>
    <w:p w14:paraId="4969EE64" w14:textId="3666C264" w:rsidR="00125A28" w:rsidRPr="002E6F6D" w:rsidRDefault="00125A28" w:rsidP="00125A28">
      <w:pPr>
        <w:pStyle w:val="PargrafodaLista"/>
        <w:spacing w:after="0" w:line="240" w:lineRule="auto"/>
        <w:ind w:left="426"/>
        <w:rPr>
          <w:rFonts w:ascii="Times New Roman" w:hAnsi="Times New Roman" w:cs="Times New Roman"/>
          <w:b/>
          <w:bCs/>
          <w:lang w:val="es-BO"/>
        </w:rPr>
      </w:pPr>
    </w:p>
    <w:p w14:paraId="5A883ABA" w14:textId="348033E4" w:rsidR="00E0141D" w:rsidRPr="00D541D3" w:rsidRDefault="00E0141D" w:rsidP="00D541D3">
      <w:pPr>
        <w:pStyle w:val="PargrafodaLista"/>
        <w:numPr>
          <w:ilvl w:val="0"/>
          <w:numId w:val="5"/>
        </w:numPr>
        <w:tabs>
          <w:tab w:val="left" w:pos="567"/>
        </w:tabs>
        <w:spacing w:after="0" w:line="240" w:lineRule="auto"/>
        <w:ind w:left="0" w:firstLine="0"/>
        <w:jc w:val="both"/>
        <w:rPr>
          <w:rFonts w:ascii="Times New Roman" w:hAnsi="Times New Roman" w:cs="Times New Roman"/>
          <w:lang w:val="es-BO"/>
        </w:rPr>
      </w:pPr>
      <w:r w:rsidRPr="00D541D3">
        <w:rPr>
          <w:rFonts w:ascii="Times New Roman" w:hAnsi="Times New Roman" w:cs="Times New Roman"/>
          <w:lang w:val="es-BO"/>
        </w:rPr>
        <w:t xml:space="preserve">La Organización del Tratado de Cooperación Amazónica (OTCA) </w:t>
      </w:r>
      <w:r w:rsidR="00FE4F3B" w:rsidRPr="00D541D3">
        <w:rPr>
          <w:rFonts w:ascii="Times New Roman" w:hAnsi="Times New Roman" w:cs="Times New Roman"/>
          <w:lang w:val="es-BO"/>
        </w:rPr>
        <w:t xml:space="preserve">en el marco de su </w:t>
      </w:r>
      <w:r w:rsidR="00194220" w:rsidRPr="00D541D3">
        <w:rPr>
          <w:rFonts w:ascii="Times New Roman" w:hAnsi="Times New Roman" w:cs="Times New Roman"/>
          <w:lang w:val="es-BO"/>
        </w:rPr>
        <w:t>Programa de Diversidad Biológica</w:t>
      </w:r>
      <w:r w:rsidR="00D03DC4" w:rsidRPr="00D541D3">
        <w:rPr>
          <w:rFonts w:ascii="Times New Roman" w:hAnsi="Times New Roman" w:cs="Times New Roman"/>
          <w:lang w:val="es-BO"/>
        </w:rPr>
        <w:t xml:space="preserve"> para la </w:t>
      </w:r>
      <w:r w:rsidR="00194220" w:rsidRPr="00D541D3">
        <w:rPr>
          <w:rFonts w:ascii="Times New Roman" w:hAnsi="Times New Roman" w:cs="Times New Roman"/>
          <w:lang w:val="es-BO"/>
        </w:rPr>
        <w:t>Región Amazónica</w:t>
      </w:r>
      <w:r w:rsidR="00D03DC4" w:rsidRPr="00D541D3">
        <w:rPr>
          <w:rFonts w:ascii="Times New Roman" w:hAnsi="Times New Roman" w:cs="Times New Roman"/>
          <w:lang w:val="es-BO"/>
        </w:rPr>
        <w:t xml:space="preserve">, </w:t>
      </w:r>
      <w:r w:rsidR="00194220" w:rsidRPr="00D541D3">
        <w:rPr>
          <w:rFonts w:ascii="Times New Roman" w:hAnsi="Times New Roman" w:cs="Times New Roman"/>
          <w:lang w:val="es-BO"/>
        </w:rPr>
        <w:t xml:space="preserve">en actual desarrollo, </w:t>
      </w:r>
      <w:r w:rsidRPr="00D541D3">
        <w:rPr>
          <w:rFonts w:ascii="Times New Roman" w:hAnsi="Times New Roman" w:cs="Times New Roman"/>
          <w:lang w:val="es-BO"/>
        </w:rPr>
        <w:t xml:space="preserve">considera importante realizar un informe regional de evaluación de la situación de la diversidad biológica y servicios ecosistémicos en la Región Amazónica, tomando en cuenta el formato metodológico de la Plataforma Intergubernamental sobre Biodiversidad y Servicios Ecosistémicos (IPBES), de la cual son parte los países amazónicos de la OTCA. </w:t>
      </w:r>
      <w:r w:rsidR="00D541D3" w:rsidRPr="00D541D3">
        <w:rPr>
          <w:rFonts w:ascii="Times New Roman" w:hAnsi="Times New Roman" w:cs="Times New Roman"/>
          <w:lang w:val="es-BO"/>
        </w:rPr>
        <w:t xml:space="preserve">Este informe estará orientado a apoyar la implementación de los objetivos del Convenio de Diversidad Biológica (CDB) referidos a la conservación de la biodiversidad, el uso sostenible de sus componentes y la participación justa y equitativa de los beneficios resultantes de la utilización de los recursos genéticos, y estará alienado en lo posible al </w:t>
      </w:r>
      <w:r w:rsidR="00D541D3">
        <w:rPr>
          <w:rFonts w:ascii="Times New Roman" w:hAnsi="Times New Roman" w:cs="Times New Roman"/>
          <w:lang w:val="es-BO"/>
        </w:rPr>
        <w:t>M</w:t>
      </w:r>
      <w:r w:rsidR="00D541D3" w:rsidRPr="00D541D3">
        <w:rPr>
          <w:rFonts w:ascii="Times New Roman" w:hAnsi="Times New Roman" w:cs="Times New Roman"/>
          <w:lang w:val="es-BO"/>
        </w:rPr>
        <w:t xml:space="preserve">arco </w:t>
      </w:r>
      <w:r w:rsidR="00D541D3">
        <w:rPr>
          <w:rFonts w:ascii="Times New Roman" w:hAnsi="Times New Roman" w:cs="Times New Roman"/>
          <w:lang w:val="es-BO"/>
        </w:rPr>
        <w:t>Mundial de D</w:t>
      </w:r>
      <w:r w:rsidR="00D541D3" w:rsidRPr="00D541D3">
        <w:rPr>
          <w:rFonts w:ascii="Times New Roman" w:hAnsi="Times New Roman" w:cs="Times New Roman"/>
          <w:lang w:val="es-BO"/>
        </w:rPr>
        <w:t xml:space="preserve">iversidad </w:t>
      </w:r>
      <w:r w:rsidR="00D541D3">
        <w:rPr>
          <w:rFonts w:ascii="Times New Roman" w:hAnsi="Times New Roman" w:cs="Times New Roman"/>
          <w:lang w:val="es-BO"/>
        </w:rPr>
        <w:t>B</w:t>
      </w:r>
      <w:r w:rsidR="00D541D3" w:rsidRPr="00D541D3">
        <w:rPr>
          <w:rFonts w:ascii="Times New Roman" w:hAnsi="Times New Roman" w:cs="Times New Roman"/>
          <w:lang w:val="es-BO"/>
        </w:rPr>
        <w:t xml:space="preserve">iológica posterior a 2020 del CDB. </w:t>
      </w:r>
      <w:r w:rsidR="00D541D3">
        <w:rPr>
          <w:rFonts w:ascii="Times New Roman" w:hAnsi="Times New Roman" w:cs="Times New Roman"/>
          <w:lang w:val="es-BO"/>
        </w:rPr>
        <w:t>Es</w:t>
      </w:r>
      <w:r w:rsidRPr="00D541D3">
        <w:rPr>
          <w:rFonts w:ascii="Times New Roman" w:hAnsi="Times New Roman" w:cs="Times New Roman"/>
          <w:lang w:val="es-BO"/>
        </w:rPr>
        <w:t xml:space="preserve">te informe se basará </w:t>
      </w:r>
      <w:r w:rsidR="00EF3A00" w:rsidRPr="00D541D3">
        <w:rPr>
          <w:rFonts w:ascii="Times New Roman" w:hAnsi="Times New Roman" w:cs="Times New Roman"/>
          <w:lang w:val="es-BO"/>
        </w:rPr>
        <w:t xml:space="preserve">y </w:t>
      </w:r>
      <w:r w:rsidR="00CC6B87" w:rsidRPr="00D541D3">
        <w:rPr>
          <w:rFonts w:ascii="Times New Roman" w:hAnsi="Times New Roman" w:cs="Times New Roman"/>
          <w:lang w:val="es-BO"/>
        </w:rPr>
        <w:t>tomará</w:t>
      </w:r>
      <w:r w:rsidR="00EF3A00" w:rsidRPr="00D541D3">
        <w:rPr>
          <w:rFonts w:ascii="Times New Roman" w:hAnsi="Times New Roman" w:cs="Times New Roman"/>
          <w:lang w:val="es-BO"/>
        </w:rPr>
        <w:t xml:space="preserve"> en cuenta </w:t>
      </w:r>
      <w:r w:rsidRPr="00D541D3">
        <w:rPr>
          <w:rFonts w:ascii="Times New Roman" w:hAnsi="Times New Roman" w:cs="Times New Roman"/>
          <w:lang w:val="es-BO"/>
        </w:rPr>
        <w:t>los informes realizados con anterioridad y en progreso</w:t>
      </w:r>
      <w:r w:rsidR="00D541D3">
        <w:rPr>
          <w:rFonts w:ascii="Times New Roman" w:hAnsi="Times New Roman" w:cs="Times New Roman"/>
          <w:lang w:val="es-BO"/>
        </w:rPr>
        <w:t>, incluyendo informaciones oficiales de los Países Miembros (PM) como los sextos Informes Nacionales sobre Diversidad Biológica al CDB, entre otros</w:t>
      </w:r>
      <w:r w:rsidRPr="00D541D3">
        <w:rPr>
          <w:rFonts w:ascii="Times New Roman" w:hAnsi="Times New Roman" w:cs="Times New Roman"/>
          <w:lang w:val="es-BO"/>
        </w:rPr>
        <w:t>. En la actualidad, la IPBES, ha realizado un informe global y un informe regional de las Américas sobre la temática. Además, se cuenta con otros insumos provenientes de otras iniciativas nacionale</w:t>
      </w:r>
      <w:r w:rsidR="00AB7790" w:rsidRPr="00D541D3">
        <w:rPr>
          <w:rFonts w:ascii="Times New Roman" w:hAnsi="Times New Roman" w:cs="Times New Roman"/>
          <w:lang w:val="es-BO"/>
        </w:rPr>
        <w:t>s</w:t>
      </w:r>
      <w:r w:rsidRPr="00D541D3">
        <w:rPr>
          <w:rFonts w:ascii="Times New Roman" w:hAnsi="Times New Roman" w:cs="Times New Roman"/>
          <w:lang w:val="es-BO"/>
        </w:rPr>
        <w:t xml:space="preserve"> y globales. En Brasil se ha avanzado bajo adaptaciones del formato IPBES en la elaboración de un informe nacional sobre biodiversidad y servicios ecosistémicos, </w:t>
      </w:r>
      <w:r w:rsidR="000767E5" w:rsidRPr="00D541D3">
        <w:rPr>
          <w:rFonts w:ascii="Times New Roman" w:hAnsi="Times New Roman" w:cs="Times New Roman"/>
          <w:lang w:val="es-BO"/>
        </w:rPr>
        <w:t xml:space="preserve">y también se han realizado reportes sobre polinizadores y restauración de paisajes bajo </w:t>
      </w:r>
      <w:r w:rsidR="00AB7790" w:rsidRPr="00D541D3">
        <w:rPr>
          <w:rFonts w:ascii="Times New Roman" w:hAnsi="Times New Roman" w:cs="Times New Roman"/>
          <w:lang w:val="es-BO"/>
        </w:rPr>
        <w:t>este mismo formato</w:t>
      </w:r>
      <w:r w:rsidR="000767E5" w:rsidRPr="00D541D3">
        <w:rPr>
          <w:rFonts w:ascii="Times New Roman" w:hAnsi="Times New Roman" w:cs="Times New Roman"/>
          <w:lang w:val="es-BO"/>
        </w:rPr>
        <w:t xml:space="preserve">. Asimismo, </w:t>
      </w:r>
      <w:r w:rsidRPr="00D541D3">
        <w:rPr>
          <w:rFonts w:ascii="Times New Roman" w:hAnsi="Times New Roman" w:cs="Times New Roman"/>
          <w:lang w:val="es-BO"/>
        </w:rPr>
        <w:t>es</w:t>
      </w:r>
      <w:r w:rsidR="003664C8" w:rsidRPr="00D541D3">
        <w:rPr>
          <w:rFonts w:ascii="Times New Roman" w:hAnsi="Times New Roman" w:cs="Times New Roman"/>
          <w:lang w:val="es-BO"/>
        </w:rPr>
        <w:t>t</w:t>
      </w:r>
      <w:r w:rsidRPr="00D541D3">
        <w:rPr>
          <w:rFonts w:ascii="Times New Roman" w:hAnsi="Times New Roman" w:cs="Times New Roman"/>
          <w:lang w:val="es-BO"/>
        </w:rPr>
        <w:t>á un curso un</w:t>
      </w:r>
      <w:r w:rsidR="00D541D3">
        <w:rPr>
          <w:rFonts w:ascii="Times New Roman" w:hAnsi="Times New Roman" w:cs="Times New Roman"/>
          <w:lang w:val="es-BO"/>
        </w:rPr>
        <w:t>a Evaluación Nacional sobre Biodiversidad y Servicios Ecosistémicos en Co</w:t>
      </w:r>
      <w:r w:rsidRPr="00D541D3">
        <w:rPr>
          <w:rFonts w:ascii="Times New Roman" w:hAnsi="Times New Roman" w:cs="Times New Roman"/>
          <w:lang w:val="es-BO"/>
        </w:rPr>
        <w:t>lombia. También está en curso otra iniciativa de informe regional para la Amazonía a cargo de</w:t>
      </w:r>
      <w:r w:rsidR="003664C8" w:rsidRPr="00D541D3">
        <w:rPr>
          <w:rFonts w:ascii="Times New Roman" w:hAnsi="Times New Roman" w:cs="Times New Roman"/>
          <w:lang w:val="es-BO"/>
        </w:rPr>
        <w:t xml:space="preserve"> la iniciativa denominada</w:t>
      </w:r>
      <w:r w:rsidRPr="00D541D3">
        <w:rPr>
          <w:rFonts w:ascii="Times New Roman" w:hAnsi="Times New Roman" w:cs="Times New Roman"/>
          <w:lang w:val="es-BO"/>
        </w:rPr>
        <w:t xml:space="preserve"> </w:t>
      </w:r>
      <w:r w:rsidRPr="00D541D3">
        <w:rPr>
          <w:rFonts w:ascii="Times New Roman" w:hAnsi="Times New Roman" w:cs="Times New Roman"/>
          <w:i/>
          <w:lang w:val="es-BO"/>
        </w:rPr>
        <w:t xml:space="preserve">Amazon </w:t>
      </w:r>
      <w:proofErr w:type="spellStart"/>
      <w:r w:rsidRPr="00D541D3">
        <w:rPr>
          <w:rFonts w:ascii="Times New Roman" w:hAnsi="Times New Roman" w:cs="Times New Roman"/>
          <w:i/>
          <w:lang w:val="es-BO"/>
        </w:rPr>
        <w:t>Science</w:t>
      </w:r>
      <w:proofErr w:type="spellEnd"/>
      <w:r w:rsidRPr="00D541D3">
        <w:rPr>
          <w:rFonts w:ascii="Times New Roman" w:hAnsi="Times New Roman" w:cs="Times New Roman"/>
          <w:i/>
          <w:lang w:val="es-BO"/>
        </w:rPr>
        <w:t xml:space="preserve"> Panel</w:t>
      </w:r>
      <w:r w:rsidRPr="00D541D3">
        <w:rPr>
          <w:rFonts w:ascii="Times New Roman" w:hAnsi="Times New Roman" w:cs="Times New Roman"/>
          <w:lang w:val="es-BO"/>
        </w:rPr>
        <w:t>. En este contexto, esta iniciativa</w:t>
      </w:r>
      <w:r w:rsidR="00CE683B" w:rsidRPr="00D541D3">
        <w:rPr>
          <w:rFonts w:ascii="Times New Roman" w:hAnsi="Times New Roman" w:cs="Times New Roman"/>
          <w:lang w:val="es-BO"/>
        </w:rPr>
        <w:t xml:space="preserve"> de la OCTA,</w:t>
      </w:r>
      <w:r w:rsidRPr="00D541D3">
        <w:rPr>
          <w:rFonts w:ascii="Times New Roman" w:hAnsi="Times New Roman" w:cs="Times New Roman"/>
          <w:lang w:val="es-BO"/>
        </w:rPr>
        <w:t xml:space="preserve"> promueve la realización de un informe regional sobre diversidad biológica y contribuciones de la naturaleza para las personas de la Región Amazónica, como insumo importante para que los Países Miembros de la OTCA puedan orientar su política pública en los territorios amazónicos sobre la base de información </w:t>
      </w:r>
      <w:r w:rsidR="00B16B4D" w:rsidRPr="00D541D3">
        <w:rPr>
          <w:rFonts w:ascii="Times New Roman" w:hAnsi="Times New Roman" w:cs="Times New Roman"/>
          <w:lang w:val="es-BO"/>
        </w:rPr>
        <w:t>analizada</w:t>
      </w:r>
      <w:r w:rsidR="00CE683B" w:rsidRPr="00D541D3">
        <w:rPr>
          <w:rFonts w:ascii="Times New Roman" w:hAnsi="Times New Roman" w:cs="Times New Roman"/>
          <w:lang w:val="es-BO"/>
        </w:rPr>
        <w:t xml:space="preserve"> y actual.</w:t>
      </w:r>
    </w:p>
    <w:p w14:paraId="09135459" w14:textId="77777777" w:rsidR="00125A28" w:rsidRPr="002E6F6D" w:rsidRDefault="00125A28" w:rsidP="00125A28">
      <w:pPr>
        <w:rPr>
          <w:lang w:val="es-BO"/>
        </w:rPr>
      </w:pPr>
    </w:p>
    <w:p w14:paraId="23CEE600" w14:textId="1196F26D" w:rsidR="008C76F7" w:rsidRPr="002E6F6D" w:rsidRDefault="009C1DCB" w:rsidP="00125A28">
      <w:pPr>
        <w:pStyle w:val="PargrafodaLista"/>
        <w:numPr>
          <w:ilvl w:val="0"/>
          <w:numId w:val="1"/>
        </w:numPr>
        <w:tabs>
          <w:tab w:val="left" w:pos="567"/>
        </w:tabs>
        <w:spacing w:after="0" w:line="240" w:lineRule="auto"/>
        <w:ind w:left="0" w:firstLine="0"/>
        <w:rPr>
          <w:rFonts w:ascii="Times New Roman" w:hAnsi="Times New Roman" w:cs="Times New Roman"/>
          <w:b/>
          <w:bCs/>
          <w:lang w:val="es-BO"/>
        </w:rPr>
      </w:pPr>
      <w:r w:rsidRPr="002E6F6D">
        <w:rPr>
          <w:rFonts w:ascii="Times New Roman" w:hAnsi="Times New Roman" w:cs="Times New Roman"/>
          <w:b/>
          <w:bCs/>
          <w:lang w:val="es-BO"/>
        </w:rPr>
        <w:t>Ámbito</w:t>
      </w:r>
      <w:r w:rsidR="008C76F7" w:rsidRPr="002E6F6D">
        <w:rPr>
          <w:rFonts w:ascii="Times New Roman" w:hAnsi="Times New Roman" w:cs="Times New Roman"/>
          <w:b/>
          <w:bCs/>
          <w:lang w:val="es-BO"/>
        </w:rPr>
        <w:t xml:space="preserve">, </w:t>
      </w:r>
      <w:r w:rsidRPr="002E6F6D">
        <w:rPr>
          <w:rFonts w:ascii="Times New Roman" w:hAnsi="Times New Roman" w:cs="Times New Roman"/>
          <w:b/>
          <w:bCs/>
          <w:lang w:val="es-BO"/>
        </w:rPr>
        <w:t>delimitación geográfica,</w:t>
      </w:r>
      <w:r w:rsidR="00A77645" w:rsidRPr="002E6F6D">
        <w:rPr>
          <w:rFonts w:ascii="Times New Roman" w:hAnsi="Times New Roman" w:cs="Times New Roman"/>
          <w:b/>
          <w:bCs/>
          <w:lang w:val="es-BO"/>
        </w:rPr>
        <w:t xml:space="preserve"> utilida</w:t>
      </w:r>
      <w:r w:rsidR="00CC6B87" w:rsidRPr="002E6F6D">
        <w:rPr>
          <w:rFonts w:ascii="Times New Roman" w:hAnsi="Times New Roman" w:cs="Times New Roman"/>
          <w:b/>
          <w:bCs/>
          <w:lang w:val="es-BO"/>
        </w:rPr>
        <w:t>d,</w:t>
      </w:r>
      <w:r w:rsidR="00A77645" w:rsidRPr="002E6F6D">
        <w:rPr>
          <w:rFonts w:ascii="Times New Roman" w:hAnsi="Times New Roman" w:cs="Times New Roman"/>
          <w:b/>
          <w:bCs/>
          <w:lang w:val="es-BO"/>
        </w:rPr>
        <w:t xml:space="preserve"> supuestos</w:t>
      </w:r>
      <w:r w:rsidR="00CC6B87" w:rsidRPr="002E6F6D">
        <w:rPr>
          <w:rFonts w:ascii="Times New Roman" w:hAnsi="Times New Roman" w:cs="Times New Roman"/>
          <w:b/>
          <w:bCs/>
          <w:lang w:val="es-BO"/>
        </w:rPr>
        <w:t xml:space="preserve"> y otros</w:t>
      </w:r>
    </w:p>
    <w:p w14:paraId="15A4DFD8" w14:textId="77777777" w:rsidR="0072373D" w:rsidRPr="002E6F6D" w:rsidRDefault="0072373D" w:rsidP="004256AA">
      <w:pPr>
        <w:pStyle w:val="PargrafodaLista"/>
        <w:spacing w:after="0" w:line="240" w:lineRule="auto"/>
        <w:rPr>
          <w:rFonts w:ascii="Times New Roman" w:hAnsi="Times New Roman" w:cs="Times New Roman"/>
          <w:b/>
          <w:bCs/>
          <w:lang w:val="es-BO"/>
        </w:rPr>
      </w:pPr>
    </w:p>
    <w:p w14:paraId="4A913FD8" w14:textId="617E0C3B" w:rsidR="008C76F7" w:rsidRPr="002E6F6D" w:rsidRDefault="009C1DCB" w:rsidP="004256AA">
      <w:pPr>
        <w:pStyle w:val="PargrafodaLista"/>
        <w:numPr>
          <w:ilvl w:val="0"/>
          <w:numId w:val="2"/>
        </w:numPr>
        <w:spacing w:after="0" w:line="240" w:lineRule="auto"/>
        <w:ind w:left="426" w:hanging="426"/>
        <w:rPr>
          <w:rFonts w:ascii="Times New Roman" w:hAnsi="Times New Roman" w:cs="Times New Roman"/>
          <w:b/>
          <w:bCs/>
          <w:lang w:val="es-BO"/>
        </w:rPr>
      </w:pPr>
      <w:r w:rsidRPr="002E6F6D">
        <w:rPr>
          <w:rFonts w:ascii="Times New Roman" w:hAnsi="Times New Roman" w:cs="Times New Roman"/>
          <w:b/>
          <w:bCs/>
          <w:lang w:val="es-BO"/>
        </w:rPr>
        <w:t>Ámbito</w:t>
      </w:r>
    </w:p>
    <w:p w14:paraId="72D88B27" w14:textId="77777777" w:rsidR="00125A28" w:rsidRPr="002E6F6D" w:rsidRDefault="00125A28" w:rsidP="00125A28">
      <w:pPr>
        <w:pStyle w:val="PargrafodaLista"/>
        <w:tabs>
          <w:tab w:val="left" w:pos="567"/>
        </w:tabs>
        <w:spacing w:after="0" w:line="240" w:lineRule="auto"/>
        <w:ind w:left="0"/>
        <w:jc w:val="both"/>
        <w:rPr>
          <w:rFonts w:ascii="Times New Roman" w:hAnsi="Times New Roman" w:cs="Times New Roman"/>
          <w:lang w:val="es-BO"/>
        </w:rPr>
      </w:pPr>
    </w:p>
    <w:p w14:paraId="6037FC4E" w14:textId="272967DB" w:rsidR="00E21C10" w:rsidRPr="002E6F6D" w:rsidRDefault="00CC6B87" w:rsidP="00CC6B87">
      <w:pPr>
        <w:pStyle w:val="PargrafodaLista"/>
        <w:numPr>
          <w:ilvl w:val="0"/>
          <w:numId w:val="6"/>
        </w:numPr>
        <w:tabs>
          <w:tab w:val="left" w:pos="567"/>
        </w:tabs>
        <w:spacing w:after="0" w:line="240" w:lineRule="auto"/>
        <w:ind w:left="0" w:firstLine="0"/>
        <w:jc w:val="both"/>
        <w:rPr>
          <w:rFonts w:ascii="Times New Roman" w:hAnsi="Times New Roman" w:cs="Times New Roman"/>
          <w:b/>
          <w:bCs/>
          <w:lang w:val="es-BO"/>
        </w:rPr>
      </w:pPr>
      <w:r w:rsidRPr="002E6F6D">
        <w:rPr>
          <w:rFonts w:ascii="Times New Roman" w:hAnsi="Times New Roman" w:cs="Times New Roman"/>
          <w:lang w:val="es-BO"/>
        </w:rPr>
        <w:t>E</w:t>
      </w:r>
      <w:r w:rsidR="00E21C10" w:rsidRPr="002E6F6D">
        <w:rPr>
          <w:rFonts w:ascii="Times New Roman" w:hAnsi="Times New Roman" w:cs="Times New Roman"/>
          <w:lang w:val="es-BO"/>
        </w:rPr>
        <w:t>l ámbito general de las evaluaciones regionales y subregionales de la IPBES consiste en determinar la situación y las tendencias relativas a la diversidad biológic</w:t>
      </w:r>
      <w:r w:rsidR="009155D3">
        <w:rPr>
          <w:rFonts w:ascii="Times New Roman" w:hAnsi="Times New Roman" w:cs="Times New Roman"/>
          <w:lang w:val="es-BO"/>
        </w:rPr>
        <w:t>a y contribuciones de la naturaleza para las personas (funciones ambientales</w:t>
      </w:r>
      <w:r w:rsidR="00E21C10" w:rsidRPr="002E6F6D">
        <w:rPr>
          <w:rFonts w:ascii="Times New Roman" w:hAnsi="Times New Roman" w:cs="Times New Roman"/>
          <w:lang w:val="es-BO"/>
        </w:rPr>
        <w:t xml:space="preserve"> y servicios de los ecosistemas</w:t>
      </w:r>
      <w:r w:rsidR="009155D3">
        <w:rPr>
          <w:rFonts w:ascii="Times New Roman" w:hAnsi="Times New Roman" w:cs="Times New Roman"/>
          <w:lang w:val="es-BO"/>
        </w:rPr>
        <w:t>/ ambientales), así como</w:t>
      </w:r>
      <w:r w:rsidR="00E21C10" w:rsidRPr="002E6F6D">
        <w:rPr>
          <w:rFonts w:ascii="Times New Roman" w:hAnsi="Times New Roman" w:cs="Times New Roman"/>
          <w:lang w:val="es-BO"/>
        </w:rPr>
        <w:t xml:space="preserve"> sus interrelaciones, </w:t>
      </w:r>
      <w:r w:rsidR="009155D3">
        <w:rPr>
          <w:rFonts w:ascii="Times New Roman" w:hAnsi="Times New Roman" w:cs="Times New Roman"/>
          <w:lang w:val="es-BO"/>
        </w:rPr>
        <w:t xml:space="preserve">oportunidades y </w:t>
      </w:r>
      <w:r w:rsidR="00E21C10" w:rsidRPr="002E6F6D">
        <w:rPr>
          <w:rFonts w:ascii="Times New Roman" w:hAnsi="Times New Roman" w:cs="Times New Roman"/>
          <w:lang w:val="es-BO"/>
        </w:rPr>
        <w:t xml:space="preserve">amenazas que </w:t>
      </w:r>
      <w:r w:rsidR="00C12EA7">
        <w:rPr>
          <w:rFonts w:ascii="Times New Roman" w:hAnsi="Times New Roman" w:cs="Times New Roman"/>
          <w:lang w:val="es-BO"/>
        </w:rPr>
        <w:t xml:space="preserve">se ciernen sobre ellas y </w:t>
      </w:r>
      <w:r w:rsidR="00E21C10" w:rsidRPr="002E6F6D">
        <w:rPr>
          <w:rFonts w:ascii="Times New Roman" w:hAnsi="Times New Roman" w:cs="Times New Roman"/>
          <w:lang w:val="es-BO"/>
        </w:rPr>
        <w:t>repercuten en el bienestar de los seres humanos</w:t>
      </w:r>
      <w:r w:rsidR="009155D3">
        <w:rPr>
          <w:rFonts w:ascii="Times New Roman" w:hAnsi="Times New Roman" w:cs="Times New Roman"/>
          <w:lang w:val="es-BO"/>
        </w:rPr>
        <w:t xml:space="preserve">. Asimismo, toma en consideración </w:t>
      </w:r>
      <w:r w:rsidR="00E21C10" w:rsidRPr="002E6F6D">
        <w:rPr>
          <w:rFonts w:ascii="Times New Roman" w:hAnsi="Times New Roman" w:cs="Times New Roman"/>
          <w:lang w:val="es-BO"/>
        </w:rPr>
        <w:t>la eficacia de las respuestas, en particular</w:t>
      </w:r>
      <w:r w:rsidR="000366D0" w:rsidRPr="002E6F6D">
        <w:rPr>
          <w:rFonts w:ascii="Times New Roman" w:hAnsi="Times New Roman" w:cs="Times New Roman"/>
          <w:lang w:val="es-BO"/>
        </w:rPr>
        <w:t xml:space="preserve"> con relación a</w:t>
      </w:r>
      <w:r w:rsidR="00E21C10" w:rsidRPr="002E6F6D">
        <w:rPr>
          <w:rFonts w:ascii="Times New Roman" w:hAnsi="Times New Roman" w:cs="Times New Roman"/>
          <w:lang w:val="es-BO"/>
        </w:rPr>
        <w:t xml:space="preserve">l Plan Estratégico para la Diversidad Biológica 2011 2020 y sus Metas de Aichi para la Diversidad Biológica y las </w:t>
      </w:r>
      <w:r w:rsidR="009155D3">
        <w:rPr>
          <w:rFonts w:ascii="Times New Roman" w:hAnsi="Times New Roman" w:cs="Times New Roman"/>
          <w:lang w:val="es-BO"/>
        </w:rPr>
        <w:t>E</w:t>
      </w:r>
      <w:r w:rsidR="00E21C10" w:rsidRPr="002E6F6D">
        <w:rPr>
          <w:rFonts w:ascii="Times New Roman" w:hAnsi="Times New Roman" w:cs="Times New Roman"/>
          <w:lang w:val="es-BO"/>
        </w:rPr>
        <w:t xml:space="preserve">strategias y los </w:t>
      </w:r>
      <w:r w:rsidR="009155D3">
        <w:rPr>
          <w:rFonts w:ascii="Times New Roman" w:hAnsi="Times New Roman" w:cs="Times New Roman"/>
          <w:lang w:val="es-BO"/>
        </w:rPr>
        <w:t>P</w:t>
      </w:r>
      <w:r w:rsidR="00E21C10" w:rsidRPr="002E6F6D">
        <w:rPr>
          <w:rFonts w:ascii="Times New Roman" w:hAnsi="Times New Roman" w:cs="Times New Roman"/>
          <w:lang w:val="es-BO"/>
        </w:rPr>
        <w:t xml:space="preserve">lanes de </w:t>
      </w:r>
      <w:r w:rsidR="009155D3">
        <w:rPr>
          <w:rFonts w:ascii="Times New Roman" w:hAnsi="Times New Roman" w:cs="Times New Roman"/>
          <w:lang w:val="es-BO"/>
        </w:rPr>
        <w:t>A</w:t>
      </w:r>
      <w:r w:rsidR="00E21C10" w:rsidRPr="002E6F6D">
        <w:rPr>
          <w:rFonts w:ascii="Times New Roman" w:hAnsi="Times New Roman" w:cs="Times New Roman"/>
          <w:lang w:val="es-BO"/>
        </w:rPr>
        <w:t xml:space="preserve">cción </w:t>
      </w:r>
      <w:r w:rsidR="009155D3">
        <w:rPr>
          <w:rFonts w:ascii="Times New Roman" w:hAnsi="Times New Roman" w:cs="Times New Roman"/>
          <w:lang w:val="es-BO"/>
        </w:rPr>
        <w:t>N</w:t>
      </w:r>
      <w:r w:rsidR="00E21C10" w:rsidRPr="002E6F6D">
        <w:rPr>
          <w:rFonts w:ascii="Times New Roman" w:hAnsi="Times New Roman" w:cs="Times New Roman"/>
          <w:lang w:val="es-BO"/>
        </w:rPr>
        <w:t xml:space="preserve">acionales </w:t>
      </w:r>
      <w:r w:rsidR="009155D3">
        <w:rPr>
          <w:rFonts w:ascii="Times New Roman" w:hAnsi="Times New Roman" w:cs="Times New Roman"/>
          <w:lang w:val="es-BO"/>
        </w:rPr>
        <w:t>de</w:t>
      </w:r>
      <w:r w:rsidR="00E21C10" w:rsidRPr="002E6F6D">
        <w:rPr>
          <w:rFonts w:ascii="Times New Roman" w:hAnsi="Times New Roman" w:cs="Times New Roman"/>
          <w:lang w:val="es-BO"/>
        </w:rPr>
        <w:t xml:space="preserve"> </w:t>
      </w:r>
      <w:r w:rsidR="009155D3">
        <w:rPr>
          <w:rFonts w:ascii="Times New Roman" w:hAnsi="Times New Roman" w:cs="Times New Roman"/>
          <w:lang w:val="es-BO"/>
        </w:rPr>
        <w:t>D</w:t>
      </w:r>
      <w:r w:rsidR="00E21C10" w:rsidRPr="002E6F6D">
        <w:rPr>
          <w:rFonts w:ascii="Times New Roman" w:hAnsi="Times New Roman" w:cs="Times New Roman"/>
          <w:lang w:val="es-BO"/>
        </w:rPr>
        <w:t xml:space="preserve">iversidad </w:t>
      </w:r>
      <w:r w:rsidR="009155D3">
        <w:rPr>
          <w:rFonts w:ascii="Times New Roman" w:hAnsi="Times New Roman" w:cs="Times New Roman"/>
          <w:lang w:val="es-BO"/>
        </w:rPr>
        <w:t>B</w:t>
      </w:r>
      <w:r w:rsidR="00E21C10" w:rsidRPr="002E6F6D">
        <w:rPr>
          <w:rFonts w:ascii="Times New Roman" w:hAnsi="Times New Roman" w:cs="Times New Roman"/>
          <w:lang w:val="es-BO"/>
        </w:rPr>
        <w:t xml:space="preserve">iológica elaborados como parte del </w:t>
      </w:r>
      <w:r w:rsidR="009155D3">
        <w:rPr>
          <w:rFonts w:ascii="Times New Roman" w:hAnsi="Times New Roman" w:cs="Times New Roman"/>
          <w:lang w:val="es-BO"/>
        </w:rPr>
        <w:t>CDB</w:t>
      </w:r>
      <w:r w:rsidR="00E21C10" w:rsidRPr="002E6F6D">
        <w:rPr>
          <w:rFonts w:ascii="Times New Roman" w:hAnsi="Times New Roman" w:cs="Times New Roman"/>
          <w:lang w:val="es-BO"/>
        </w:rPr>
        <w:t>. Las evaluaciones abordan la diversidad biológica y los servicios de los ecosistemas terrestres, de agua dulce, costeros y marinos.</w:t>
      </w:r>
      <w:r w:rsidR="00AD72F8" w:rsidRPr="002E6F6D">
        <w:rPr>
          <w:rFonts w:ascii="Times New Roman" w:hAnsi="Times New Roman" w:cs="Times New Roman"/>
          <w:lang w:val="es-BO"/>
        </w:rPr>
        <w:t xml:space="preserve"> La evaluación también se articulará al proceso iniciado por los países del Marco Global de Diversidad Biológica posterior a 2020 del Convenio de Diversidad Biológica.</w:t>
      </w:r>
    </w:p>
    <w:p w14:paraId="16B4BF05" w14:textId="77777777" w:rsidR="00E21C10" w:rsidRPr="002E6F6D" w:rsidRDefault="00E21C10" w:rsidP="00CC6B87">
      <w:pPr>
        <w:pStyle w:val="PargrafodaLista"/>
        <w:tabs>
          <w:tab w:val="left" w:pos="567"/>
        </w:tabs>
        <w:spacing w:after="0" w:line="240" w:lineRule="auto"/>
        <w:ind w:left="0"/>
        <w:jc w:val="both"/>
        <w:rPr>
          <w:rFonts w:ascii="Times New Roman" w:hAnsi="Times New Roman" w:cs="Times New Roman"/>
          <w:b/>
          <w:bCs/>
          <w:lang w:val="es-BO"/>
        </w:rPr>
      </w:pPr>
    </w:p>
    <w:p w14:paraId="4B2944BA" w14:textId="5240FF60" w:rsidR="00940F47" w:rsidRPr="002E6F6D" w:rsidRDefault="0036233E" w:rsidP="00CC6B87">
      <w:pPr>
        <w:pStyle w:val="PargrafodaLista"/>
        <w:numPr>
          <w:ilvl w:val="0"/>
          <w:numId w:val="6"/>
        </w:numPr>
        <w:tabs>
          <w:tab w:val="left" w:pos="567"/>
        </w:tabs>
        <w:spacing w:after="0" w:line="240" w:lineRule="auto"/>
        <w:ind w:left="0" w:firstLine="0"/>
        <w:jc w:val="both"/>
        <w:rPr>
          <w:rFonts w:ascii="Times New Roman" w:hAnsi="Times New Roman" w:cs="Times New Roman"/>
          <w:b/>
          <w:bCs/>
          <w:lang w:val="es-BO"/>
        </w:rPr>
      </w:pPr>
      <w:r w:rsidRPr="002E6F6D">
        <w:rPr>
          <w:rFonts w:ascii="Times New Roman" w:hAnsi="Times New Roman" w:cs="Times New Roman"/>
          <w:lang w:val="es-BO"/>
        </w:rPr>
        <w:lastRenderedPageBreak/>
        <w:t>El informe de evaluación para la Regió</w:t>
      </w:r>
      <w:r w:rsidR="00E21C10" w:rsidRPr="002E6F6D">
        <w:rPr>
          <w:rFonts w:ascii="Times New Roman" w:hAnsi="Times New Roman" w:cs="Times New Roman"/>
          <w:lang w:val="es-BO"/>
        </w:rPr>
        <w:t xml:space="preserve">n </w:t>
      </w:r>
      <w:r w:rsidR="00CC6B87" w:rsidRPr="002E6F6D">
        <w:rPr>
          <w:rFonts w:ascii="Times New Roman" w:hAnsi="Times New Roman" w:cs="Times New Roman"/>
          <w:lang w:val="es-BO"/>
        </w:rPr>
        <w:t>Amazónica</w:t>
      </w:r>
      <w:r w:rsidR="00E21C10" w:rsidRPr="002E6F6D">
        <w:rPr>
          <w:rFonts w:ascii="Times New Roman" w:hAnsi="Times New Roman" w:cs="Times New Roman"/>
          <w:lang w:val="es-BO"/>
        </w:rPr>
        <w:t xml:space="preserve"> </w:t>
      </w:r>
      <w:r w:rsidR="00000144" w:rsidRPr="002E6F6D">
        <w:rPr>
          <w:rFonts w:ascii="Times New Roman" w:hAnsi="Times New Roman" w:cs="Times New Roman"/>
          <w:lang w:val="es-BO"/>
        </w:rPr>
        <w:t>estará centrad</w:t>
      </w:r>
      <w:r w:rsidR="00CC6B87" w:rsidRPr="002E6F6D">
        <w:rPr>
          <w:rFonts w:ascii="Times New Roman" w:hAnsi="Times New Roman" w:cs="Times New Roman"/>
          <w:lang w:val="es-BO"/>
        </w:rPr>
        <w:t>o</w:t>
      </w:r>
      <w:r w:rsidR="00000144" w:rsidRPr="002E6F6D">
        <w:rPr>
          <w:rFonts w:ascii="Times New Roman" w:hAnsi="Times New Roman" w:cs="Times New Roman"/>
          <w:lang w:val="es-BO"/>
        </w:rPr>
        <w:t xml:space="preserve"> en la </w:t>
      </w:r>
      <w:r w:rsidR="00B214D5" w:rsidRPr="002E6F6D">
        <w:rPr>
          <w:rFonts w:ascii="Times New Roman" w:hAnsi="Times New Roman" w:cs="Times New Roman"/>
          <w:lang w:val="es-BO"/>
        </w:rPr>
        <w:t>diversidad biológica y servicios ecosistémicos de la Región Amazónica</w:t>
      </w:r>
      <w:r w:rsidR="00000144" w:rsidRPr="002E6F6D">
        <w:rPr>
          <w:rFonts w:ascii="Times New Roman" w:hAnsi="Times New Roman" w:cs="Times New Roman"/>
          <w:lang w:val="es-BO"/>
        </w:rPr>
        <w:t xml:space="preserve">, tomando en cuenta </w:t>
      </w:r>
      <w:r w:rsidR="008E7BB4" w:rsidRPr="002E6F6D">
        <w:rPr>
          <w:rFonts w:ascii="Times New Roman" w:hAnsi="Times New Roman" w:cs="Times New Roman"/>
          <w:lang w:val="es-BO"/>
        </w:rPr>
        <w:t xml:space="preserve">que es una región compleja y heterogénea resultante de diversos procesos geológicos, geomorfológicos, climatológicos, hidrográficos y biológicos, destacándose en el ámbito mundial por su </w:t>
      </w:r>
      <w:proofErr w:type="spellStart"/>
      <w:r w:rsidR="00000144" w:rsidRPr="002E6F6D">
        <w:rPr>
          <w:rFonts w:ascii="Times New Roman" w:hAnsi="Times New Roman" w:cs="Times New Roman"/>
          <w:lang w:val="es-BO"/>
        </w:rPr>
        <w:t>megadiversidad</w:t>
      </w:r>
      <w:proofErr w:type="spellEnd"/>
      <w:r w:rsidR="00000144" w:rsidRPr="002E6F6D">
        <w:rPr>
          <w:rFonts w:ascii="Times New Roman" w:hAnsi="Times New Roman" w:cs="Times New Roman"/>
          <w:lang w:val="es-BO"/>
        </w:rPr>
        <w:t xml:space="preserve"> y por su </w:t>
      </w:r>
      <w:r w:rsidR="008E7BB4" w:rsidRPr="002E6F6D">
        <w:rPr>
          <w:rFonts w:ascii="Times New Roman" w:hAnsi="Times New Roman" w:cs="Times New Roman"/>
          <w:lang w:val="es-BO"/>
        </w:rPr>
        <w:t>variedad de ecosistemas, riqueza de especies y alto endemismo</w:t>
      </w:r>
      <w:r w:rsidR="00184F17" w:rsidRPr="002E6F6D">
        <w:rPr>
          <w:rFonts w:ascii="Times New Roman" w:hAnsi="Times New Roman" w:cs="Times New Roman"/>
          <w:lang w:val="es-BO"/>
        </w:rPr>
        <w:t xml:space="preserve">, considerando que es </w:t>
      </w:r>
      <w:r w:rsidR="008E7BB4" w:rsidRPr="002E6F6D">
        <w:rPr>
          <w:rFonts w:ascii="Times New Roman" w:hAnsi="Times New Roman" w:cs="Times New Roman"/>
          <w:lang w:val="es-BO"/>
        </w:rPr>
        <w:t xml:space="preserve">una de las áreas con mayor riqueza de diversidad biológica </w:t>
      </w:r>
      <w:r w:rsidR="00184F17" w:rsidRPr="002E6F6D">
        <w:rPr>
          <w:rFonts w:ascii="Times New Roman" w:hAnsi="Times New Roman" w:cs="Times New Roman"/>
          <w:lang w:val="es-BO"/>
        </w:rPr>
        <w:t xml:space="preserve">ya que </w:t>
      </w:r>
      <w:r w:rsidR="008E7BB4" w:rsidRPr="002E6F6D">
        <w:rPr>
          <w:rFonts w:ascii="Times New Roman" w:hAnsi="Times New Roman" w:cs="Times New Roman"/>
          <w:lang w:val="es-BO"/>
        </w:rPr>
        <w:t>alberga cerca del 10% de diversidad biológica del mundo.</w:t>
      </w:r>
    </w:p>
    <w:p w14:paraId="52C16FD2" w14:textId="77777777" w:rsidR="00CC6B87" w:rsidRPr="002E6F6D" w:rsidRDefault="00CC6B87" w:rsidP="00CC6B87">
      <w:pPr>
        <w:pStyle w:val="PargrafodaLista"/>
        <w:spacing w:after="0" w:line="240" w:lineRule="auto"/>
        <w:rPr>
          <w:rFonts w:ascii="Times New Roman" w:hAnsi="Times New Roman" w:cs="Times New Roman"/>
          <w:b/>
          <w:bCs/>
          <w:lang w:val="es-BO"/>
        </w:rPr>
      </w:pPr>
    </w:p>
    <w:p w14:paraId="0BC14036" w14:textId="77E5F070" w:rsidR="00CC6B87" w:rsidRDefault="00CC6B87" w:rsidP="00CC6B87">
      <w:pPr>
        <w:pStyle w:val="PargrafodaLista"/>
        <w:numPr>
          <w:ilvl w:val="0"/>
          <w:numId w:val="6"/>
        </w:numPr>
        <w:tabs>
          <w:tab w:val="left" w:pos="567"/>
        </w:tabs>
        <w:spacing w:after="0" w:line="240" w:lineRule="auto"/>
        <w:ind w:left="0" w:firstLine="0"/>
        <w:jc w:val="both"/>
        <w:rPr>
          <w:rFonts w:ascii="Times New Roman" w:hAnsi="Times New Roman" w:cs="Times New Roman"/>
          <w:lang w:val="es-BO"/>
        </w:rPr>
      </w:pPr>
      <w:r w:rsidRPr="002E6F6D">
        <w:rPr>
          <w:rFonts w:ascii="Times New Roman" w:hAnsi="Times New Roman" w:cs="Times New Roman"/>
          <w:lang w:val="es-BO"/>
        </w:rPr>
        <w:t xml:space="preserve">Es importante mencionar que la evaluación tomará en cuenta </w:t>
      </w:r>
      <w:r w:rsidR="00126F99">
        <w:rPr>
          <w:rFonts w:ascii="Times New Roman" w:hAnsi="Times New Roman" w:cs="Times New Roman"/>
          <w:lang w:val="es-BO"/>
        </w:rPr>
        <w:t xml:space="preserve">de forma particular </w:t>
      </w:r>
      <w:r w:rsidRPr="002E6F6D">
        <w:rPr>
          <w:rFonts w:ascii="Times New Roman" w:hAnsi="Times New Roman" w:cs="Times New Roman"/>
          <w:lang w:val="es-BO"/>
        </w:rPr>
        <w:t xml:space="preserve">la realidad de las zonas fronterizas de los países amazónicos, toda vez que existe una importante interacción y relacionamiento entre estas poblaciones, así como en lo que se refiere a </w:t>
      </w:r>
      <w:r w:rsidR="00126F99">
        <w:rPr>
          <w:rFonts w:ascii="Times New Roman" w:hAnsi="Times New Roman" w:cs="Times New Roman"/>
          <w:lang w:val="es-BO"/>
        </w:rPr>
        <w:t xml:space="preserve">los </w:t>
      </w:r>
      <w:r w:rsidRPr="002E6F6D">
        <w:rPr>
          <w:rFonts w:ascii="Times New Roman" w:hAnsi="Times New Roman" w:cs="Times New Roman"/>
          <w:lang w:val="es-BO"/>
        </w:rPr>
        <w:t>procesos y dinámicas sociales, económicas y ambientales</w:t>
      </w:r>
      <w:r w:rsidR="00126F99">
        <w:rPr>
          <w:rFonts w:ascii="Times New Roman" w:hAnsi="Times New Roman" w:cs="Times New Roman"/>
          <w:lang w:val="es-BO"/>
        </w:rPr>
        <w:t xml:space="preserve"> en dichas zonas</w:t>
      </w:r>
      <w:r w:rsidRPr="002E6F6D">
        <w:rPr>
          <w:rFonts w:ascii="Times New Roman" w:hAnsi="Times New Roman" w:cs="Times New Roman"/>
          <w:lang w:val="es-BO"/>
        </w:rPr>
        <w:t xml:space="preserve">. </w:t>
      </w:r>
    </w:p>
    <w:p w14:paraId="3AB1C046" w14:textId="77777777" w:rsidR="00126F99" w:rsidRPr="007C1DF6" w:rsidRDefault="00126F99" w:rsidP="007C1DF6">
      <w:pPr>
        <w:pStyle w:val="PargrafodaLista"/>
        <w:rPr>
          <w:rFonts w:ascii="Times New Roman" w:hAnsi="Times New Roman" w:cs="Times New Roman"/>
          <w:lang w:val="es-BO"/>
        </w:rPr>
      </w:pPr>
    </w:p>
    <w:p w14:paraId="64F589BB" w14:textId="4F0F063C" w:rsidR="00126F99" w:rsidRPr="002E6F6D" w:rsidRDefault="00126F99" w:rsidP="00CC6B87">
      <w:pPr>
        <w:pStyle w:val="PargrafodaLista"/>
        <w:numPr>
          <w:ilvl w:val="0"/>
          <w:numId w:val="6"/>
        </w:numPr>
        <w:tabs>
          <w:tab w:val="left" w:pos="567"/>
        </w:tabs>
        <w:spacing w:after="0" w:line="240" w:lineRule="auto"/>
        <w:ind w:left="0" w:firstLine="0"/>
        <w:jc w:val="both"/>
        <w:rPr>
          <w:rFonts w:ascii="Times New Roman" w:hAnsi="Times New Roman" w:cs="Times New Roman"/>
          <w:lang w:val="es-BO"/>
        </w:rPr>
      </w:pPr>
      <w:r>
        <w:rPr>
          <w:rFonts w:ascii="Times New Roman" w:hAnsi="Times New Roman" w:cs="Times New Roman"/>
          <w:lang w:val="es-BO"/>
        </w:rPr>
        <w:t>La evaluación tomará debidamente en cuenta el marco legal de los Países Miembros, así como la utilización de conceptos y terminologías vinculadas a la diversidad biológica y contribuciones de la naturaleza para las personas (funciones ambientales y servicios ecosistémicos/ambientales).</w:t>
      </w:r>
    </w:p>
    <w:p w14:paraId="7D0B3E98" w14:textId="77777777" w:rsidR="000767E5" w:rsidRPr="002E6F6D" w:rsidRDefault="000767E5" w:rsidP="000767E5">
      <w:pPr>
        <w:pStyle w:val="PargrafodaLista"/>
        <w:rPr>
          <w:rFonts w:ascii="Times New Roman" w:hAnsi="Times New Roman" w:cs="Times New Roman"/>
          <w:lang w:val="es-BO"/>
        </w:rPr>
      </w:pPr>
    </w:p>
    <w:p w14:paraId="74D04E2C" w14:textId="35A50E29" w:rsidR="00A77645" w:rsidRPr="002E6F6D" w:rsidRDefault="009C1DCB" w:rsidP="00DB29B5">
      <w:pPr>
        <w:pStyle w:val="PargrafodaLista"/>
        <w:numPr>
          <w:ilvl w:val="0"/>
          <w:numId w:val="2"/>
        </w:numPr>
        <w:spacing w:after="0" w:line="240" w:lineRule="auto"/>
        <w:ind w:left="426" w:hanging="426"/>
        <w:rPr>
          <w:rFonts w:ascii="Times New Roman" w:hAnsi="Times New Roman" w:cs="Times New Roman"/>
          <w:b/>
          <w:bCs/>
          <w:lang w:val="es-BO"/>
        </w:rPr>
      </w:pPr>
      <w:r w:rsidRPr="002E6F6D">
        <w:rPr>
          <w:rFonts w:ascii="Times New Roman" w:hAnsi="Times New Roman" w:cs="Times New Roman"/>
          <w:b/>
          <w:bCs/>
          <w:lang w:val="es-BO"/>
        </w:rPr>
        <w:t>Delimitación geográfica</w:t>
      </w:r>
    </w:p>
    <w:p w14:paraId="23E2853F" w14:textId="48FD6749" w:rsidR="00B214D5" w:rsidRPr="002E6F6D" w:rsidRDefault="00B214D5" w:rsidP="00B214D5">
      <w:pPr>
        <w:rPr>
          <w:b/>
          <w:bCs/>
          <w:lang w:val="es-BO"/>
        </w:rPr>
      </w:pPr>
    </w:p>
    <w:p w14:paraId="185DD793" w14:textId="7A81F3C7" w:rsidR="00805B60" w:rsidRDefault="00724624" w:rsidP="00125A28">
      <w:pPr>
        <w:pStyle w:val="PargrafodaLista"/>
        <w:numPr>
          <w:ilvl w:val="0"/>
          <w:numId w:val="6"/>
        </w:numPr>
        <w:tabs>
          <w:tab w:val="left" w:pos="567"/>
        </w:tabs>
        <w:spacing w:after="0" w:line="240" w:lineRule="auto"/>
        <w:ind w:left="0" w:firstLine="0"/>
        <w:jc w:val="both"/>
        <w:rPr>
          <w:rFonts w:ascii="Times New Roman" w:hAnsi="Times New Roman" w:cs="Times New Roman"/>
          <w:lang w:val="es-BO"/>
        </w:rPr>
      </w:pPr>
      <w:r w:rsidRPr="002E6F6D">
        <w:rPr>
          <w:rFonts w:ascii="Times New Roman" w:hAnsi="Times New Roman" w:cs="Times New Roman"/>
          <w:lang w:val="es-BO"/>
        </w:rPr>
        <w:t>La Región Amazónica</w:t>
      </w:r>
      <w:r w:rsidR="00805B60">
        <w:rPr>
          <w:rFonts w:ascii="Times New Roman" w:hAnsi="Times New Roman" w:cs="Times New Roman"/>
          <w:lang w:val="es-BO"/>
        </w:rPr>
        <w:t xml:space="preserve"> cubre </w:t>
      </w:r>
      <w:r w:rsidRPr="002E6F6D">
        <w:rPr>
          <w:rFonts w:ascii="Times New Roman" w:hAnsi="Times New Roman" w:cs="Times New Roman"/>
          <w:lang w:val="es-BO"/>
        </w:rPr>
        <w:t>el 44% del área terrestre de América del Sur, contiene el bosque tropical más grande del mundo</w:t>
      </w:r>
      <w:r w:rsidR="00805B60">
        <w:rPr>
          <w:rFonts w:ascii="Times New Roman" w:hAnsi="Times New Roman" w:cs="Times New Roman"/>
          <w:lang w:val="es-BO"/>
        </w:rPr>
        <w:t>,</w:t>
      </w:r>
      <w:r w:rsidRPr="002E6F6D">
        <w:rPr>
          <w:rFonts w:ascii="Times New Roman" w:hAnsi="Times New Roman" w:cs="Times New Roman"/>
          <w:lang w:val="es-BO"/>
        </w:rPr>
        <w:t xml:space="preserve"> y </w:t>
      </w:r>
      <w:r w:rsidR="00805B60">
        <w:rPr>
          <w:rFonts w:ascii="Times New Roman" w:hAnsi="Times New Roman" w:cs="Times New Roman"/>
          <w:lang w:val="es-BO"/>
        </w:rPr>
        <w:t xml:space="preserve">constituye </w:t>
      </w:r>
      <w:r w:rsidRPr="002E6F6D">
        <w:rPr>
          <w:rFonts w:ascii="Times New Roman" w:hAnsi="Times New Roman" w:cs="Times New Roman"/>
          <w:lang w:val="es-BO"/>
        </w:rPr>
        <w:t>la cuenca hidrográfica más extensa del planeta. La Región Amazónica está conformada por oc</w:t>
      </w:r>
      <w:r w:rsidR="00B214D5" w:rsidRPr="002E6F6D">
        <w:rPr>
          <w:rFonts w:ascii="Times New Roman" w:hAnsi="Times New Roman" w:cs="Times New Roman"/>
          <w:lang w:val="es-BO"/>
        </w:rPr>
        <w:t xml:space="preserve">ho países amazónicos: Bolivia, Brasil, Ecuador, Colombia, Guyana, Perú, Surinam y Venezuela. </w:t>
      </w:r>
    </w:p>
    <w:p w14:paraId="71860243" w14:textId="77777777" w:rsidR="00805B60" w:rsidRDefault="00805B60" w:rsidP="007C1DF6">
      <w:pPr>
        <w:pStyle w:val="PargrafodaLista"/>
        <w:tabs>
          <w:tab w:val="left" w:pos="567"/>
        </w:tabs>
        <w:spacing w:after="0" w:line="240" w:lineRule="auto"/>
        <w:ind w:left="0"/>
        <w:jc w:val="both"/>
        <w:rPr>
          <w:rFonts w:ascii="Times New Roman" w:hAnsi="Times New Roman" w:cs="Times New Roman"/>
          <w:lang w:val="es-BO"/>
        </w:rPr>
      </w:pPr>
    </w:p>
    <w:p w14:paraId="5F68B82D" w14:textId="26909DEB" w:rsidR="00B214D5" w:rsidRPr="002E6F6D" w:rsidRDefault="00B214D5" w:rsidP="00125A28">
      <w:pPr>
        <w:pStyle w:val="PargrafodaLista"/>
        <w:numPr>
          <w:ilvl w:val="0"/>
          <w:numId w:val="6"/>
        </w:numPr>
        <w:tabs>
          <w:tab w:val="left" w:pos="567"/>
        </w:tabs>
        <w:spacing w:after="0" w:line="240" w:lineRule="auto"/>
        <w:ind w:left="0" w:firstLine="0"/>
        <w:jc w:val="both"/>
        <w:rPr>
          <w:rFonts w:ascii="Times New Roman" w:hAnsi="Times New Roman" w:cs="Times New Roman"/>
          <w:lang w:val="es-BO"/>
        </w:rPr>
      </w:pPr>
      <w:r w:rsidRPr="002E6F6D">
        <w:rPr>
          <w:rFonts w:ascii="Times New Roman" w:hAnsi="Times New Roman" w:cs="Times New Roman"/>
          <w:lang w:val="es-BO"/>
        </w:rPr>
        <w:t xml:space="preserve">Las áreas amazónicas incluidas en la Región Amazónica por país </w:t>
      </w:r>
      <w:r w:rsidR="00805B60">
        <w:rPr>
          <w:rFonts w:ascii="Times New Roman" w:hAnsi="Times New Roman" w:cs="Times New Roman"/>
          <w:lang w:val="es-BO"/>
        </w:rPr>
        <w:t>comprenden todos los territorios amazónicos de acuerdo a las propias definiciones y delimitaciones de los Países Miembros de la OTCA</w:t>
      </w:r>
      <w:r w:rsidR="008736C7">
        <w:rPr>
          <w:rFonts w:ascii="Times New Roman" w:hAnsi="Times New Roman" w:cs="Times New Roman"/>
          <w:lang w:val="es-BO"/>
        </w:rPr>
        <w:t>, de acuerdo al siguiente detalle:</w:t>
      </w:r>
    </w:p>
    <w:p w14:paraId="4F6E74AF" w14:textId="77777777" w:rsidR="00B214D5" w:rsidRPr="002E6F6D" w:rsidRDefault="00B214D5" w:rsidP="00B214D5">
      <w:pPr>
        <w:rPr>
          <w:lang w:val="es-BO"/>
        </w:rPr>
      </w:pPr>
    </w:p>
    <w:tbl>
      <w:tblPr>
        <w:tblStyle w:val="Tabelacomgrade"/>
        <w:tblW w:w="0" w:type="auto"/>
        <w:tblLook w:val="04A0" w:firstRow="1" w:lastRow="0" w:firstColumn="1" w:lastColumn="0" w:noHBand="0" w:noVBand="1"/>
      </w:tblPr>
      <w:tblGrid>
        <w:gridCol w:w="2122"/>
        <w:gridCol w:w="6372"/>
      </w:tblGrid>
      <w:tr w:rsidR="005F0C6E" w:rsidRPr="002E6F6D" w14:paraId="286DB8B5" w14:textId="77777777" w:rsidTr="00960906">
        <w:tc>
          <w:tcPr>
            <w:tcW w:w="2122" w:type="dxa"/>
          </w:tcPr>
          <w:p w14:paraId="5B7F2B59" w14:textId="77777777" w:rsidR="00B214D5" w:rsidRPr="002E6F6D" w:rsidRDefault="00B214D5" w:rsidP="007C1DF6">
            <w:pPr>
              <w:jc w:val="center"/>
              <w:rPr>
                <w:i/>
                <w:iCs/>
                <w:sz w:val="22"/>
                <w:szCs w:val="22"/>
                <w:lang w:val="es-BO"/>
              </w:rPr>
            </w:pPr>
            <w:r w:rsidRPr="002E6F6D">
              <w:rPr>
                <w:i/>
                <w:iCs/>
                <w:sz w:val="22"/>
                <w:szCs w:val="22"/>
                <w:lang w:val="es-BO"/>
              </w:rPr>
              <w:t>País</w:t>
            </w:r>
          </w:p>
        </w:tc>
        <w:tc>
          <w:tcPr>
            <w:tcW w:w="6372" w:type="dxa"/>
          </w:tcPr>
          <w:p w14:paraId="38AEE400" w14:textId="77777777" w:rsidR="00B214D5" w:rsidRPr="002E6F6D" w:rsidRDefault="00B214D5" w:rsidP="007C1DF6">
            <w:pPr>
              <w:jc w:val="center"/>
              <w:rPr>
                <w:i/>
                <w:iCs/>
                <w:sz w:val="22"/>
                <w:szCs w:val="22"/>
                <w:lang w:val="es-BO"/>
              </w:rPr>
            </w:pPr>
            <w:r w:rsidRPr="002E6F6D">
              <w:rPr>
                <w:i/>
                <w:iCs/>
                <w:sz w:val="22"/>
                <w:szCs w:val="22"/>
                <w:lang w:val="es-BO"/>
              </w:rPr>
              <w:t>Departamentos, provincias o municipios</w:t>
            </w:r>
          </w:p>
        </w:tc>
      </w:tr>
      <w:tr w:rsidR="005F0C6E" w:rsidRPr="002E6F6D" w14:paraId="0A900634" w14:textId="77777777" w:rsidTr="00960906">
        <w:tc>
          <w:tcPr>
            <w:tcW w:w="2122" w:type="dxa"/>
          </w:tcPr>
          <w:p w14:paraId="1453B007" w14:textId="77777777" w:rsidR="00B214D5" w:rsidRPr="002E6F6D" w:rsidRDefault="00B214D5" w:rsidP="00960906">
            <w:pPr>
              <w:rPr>
                <w:sz w:val="22"/>
                <w:szCs w:val="22"/>
                <w:lang w:val="es-BO"/>
              </w:rPr>
            </w:pPr>
            <w:r w:rsidRPr="002E6F6D">
              <w:rPr>
                <w:sz w:val="22"/>
                <w:szCs w:val="22"/>
                <w:lang w:val="es-BO"/>
              </w:rPr>
              <w:t>Bolivia</w:t>
            </w:r>
          </w:p>
        </w:tc>
        <w:tc>
          <w:tcPr>
            <w:tcW w:w="6372" w:type="dxa"/>
          </w:tcPr>
          <w:p w14:paraId="6994BFD4" w14:textId="2A98D752" w:rsidR="00E21C10" w:rsidRPr="002E6F6D" w:rsidRDefault="008736C7">
            <w:pPr>
              <w:rPr>
                <w:sz w:val="22"/>
                <w:szCs w:val="22"/>
                <w:lang w:val="es-BO"/>
              </w:rPr>
            </w:pPr>
            <w:r>
              <w:rPr>
                <w:sz w:val="22"/>
                <w:szCs w:val="22"/>
                <w:lang w:val="es-BO"/>
              </w:rPr>
              <w:t>Comprende la totalidad del Departamento de Pando y los territorios amazónicos de los departamentos de La Paz, Beni y Santa Cruz.</w:t>
            </w:r>
          </w:p>
        </w:tc>
      </w:tr>
      <w:tr w:rsidR="005F0C6E" w:rsidRPr="002E6F6D" w14:paraId="173B88A4" w14:textId="77777777" w:rsidTr="00960906">
        <w:tc>
          <w:tcPr>
            <w:tcW w:w="2122" w:type="dxa"/>
          </w:tcPr>
          <w:p w14:paraId="524AB8BB" w14:textId="5CCA80C5" w:rsidR="00B214D5" w:rsidRPr="002E6F6D" w:rsidRDefault="00B214D5" w:rsidP="00960906">
            <w:pPr>
              <w:rPr>
                <w:sz w:val="22"/>
                <w:szCs w:val="22"/>
                <w:lang w:val="es-BO"/>
              </w:rPr>
            </w:pPr>
            <w:r w:rsidRPr="002E6F6D">
              <w:rPr>
                <w:sz w:val="22"/>
                <w:szCs w:val="22"/>
                <w:lang w:val="es-BO"/>
              </w:rPr>
              <w:t xml:space="preserve">Brasil </w:t>
            </w:r>
          </w:p>
        </w:tc>
        <w:tc>
          <w:tcPr>
            <w:tcW w:w="6372" w:type="dxa"/>
          </w:tcPr>
          <w:p w14:paraId="179DAE7C" w14:textId="177E398A" w:rsidR="00B214D5" w:rsidRPr="002E6F6D" w:rsidRDefault="003A5D19" w:rsidP="00960906">
            <w:pPr>
              <w:rPr>
                <w:sz w:val="22"/>
                <w:szCs w:val="22"/>
                <w:lang w:val="es-BO"/>
              </w:rPr>
            </w:pPr>
            <w:r w:rsidRPr="002E6F6D">
              <w:rPr>
                <w:sz w:val="22"/>
                <w:szCs w:val="22"/>
                <w:lang w:val="es-BO"/>
              </w:rPr>
              <w:t>C</w:t>
            </w:r>
            <w:r w:rsidR="00BF4945" w:rsidRPr="002E6F6D">
              <w:rPr>
                <w:sz w:val="22"/>
                <w:szCs w:val="22"/>
                <w:lang w:val="es-BO"/>
              </w:rPr>
              <w:t xml:space="preserve">orresponde a los estados del Acre, Amapá, Amazonas, Pará, Rondônia, Roraima, Tocantins, Mato Grueso </w:t>
            </w:r>
            <w:r w:rsidRPr="002E6F6D">
              <w:rPr>
                <w:sz w:val="22"/>
                <w:szCs w:val="22"/>
                <w:lang w:val="es-BO"/>
              </w:rPr>
              <w:t>y Maranhão</w:t>
            </w:r>
            <w:r w:rsidR="00BF4945" w:rsidRPr="002E6F6D">
              <w:rPr>
                <w:sz w:val="22"/>
                <w:szCs w:val="22"/>
                <w:lang w:val="es-BO"/>
              </w:rPr>
              <w:t>.</w:t>
            </w:r>
          </w:p>
        </w:tc>
      </w:tr>
      <w:tr w:rsidR="005F0C6E" w:rsidRPr="002E6F6D" w14:paraId="12DFAF98" w14:textId="77777777" w:rsidTr="00960906">
        <w:tc>
          <w:tcPr>
            <w:tcW w:w="2122" w:type="dxa"/>
          </w:tcPr>
          <w:p w14:paraId="61F5BAE4" w14:textId="77777777" w:rsidR="00B214D5" w:rsidRPr="002E6F6D" w:rsidRDefault="00B214D5" w:rsidP="00960906">
            <w:pPr>
              <w:rPr>
                <w:sz w:val="22"/>
                <w:szCs w:val="22"/>
                <w:lang w:val="es-BO"/>
              </w:rPr>
            </w:pPr>
            <w:r w:rsidRPr="002E6F6D">
              <w:rPr>
                <w:sz w:val="22"/>
                <w:szCs w:val="22"/>
                <w:lang w:val="es-BO"/>
              </w:rPr>
              <w:t>Ecuador</w:t>
            </w:r>
          </w:p>
        </w:tc>
        <w:tc>
          <w:tcPr>
            <w:tcW w:w="6372" w:type="dxa"/>
          </w:tcPr>
          <w:p w14:paraId="2B0FA953" w14:textId="05504BA3" w:rsidR="00B214D5" w:rsidRPr="002E6F6D" w:rsidRDefault="003A5D19" w:rsidP="00960906">
            <w:pPr>
              <w:rPr>
                <w:sz w:val="22"/>
                <w:szCs w:val="22"/>
                <w:lang w:val="es-BO"/>
              </w:rPr>
            </w:pPr>
            <w:r w:rsidRPr="002E6F6D">
              <w:rPr>
                <w:sz w:val="22"/>
                <w:szCs w:val="22"/>
                <w:lang w:val="es-BO"/>
              </w:rPr>
              <w:t xml:space="preserve">Comprende las provincias de Sucumbíos, Orellana, Napo, Pastaza, Morona </w:t>
            </w:r>
            <w:r w:rsidR="008736C7">
              <w:rPr>
                <w:sz w:val="22"/>
                <w:szCs w:val="22"/>
                <w:lang w:val="es-BO"/>
              </w:rPr>
              <w:t xml:space="preserve">Santiago </w:t>
            </w:r>
            <w:r w:rsidRPr="002E6F6D">
              <w:rPr>
                <w:sz w:val="22"/>
                <w:szCs w:val="22"/>
                <w:lang w:val="es-BO"/>
              </w:rPr>
              <w:t>y Zamora</w:t>
            </w:r>
            <w:r w:rsidR="008736C7">
              <w:rPr>
                <w:sz w:val="22"/>
                <w:szCs w:val="22"/>
                <w:lang w:val="es-BO"/>
              </w:rPr>
              <w:t xml:space="preserve"> Chinchipe</w:t>
            </w:r>
            <w:r w:rsidRPr="002E6F6D">
              <w:rPr>
                <w:sz w:val="22"/>
                <w:szCs w:val="22"/>
                <w:lang w:val="es-BO"/>
              </w:rPr>
              <w:t>.</w:t>
            </w:r>
          </w:p>
        </w:tc>
      </w:tr>
      <w:tr w:rsidR="005F0C6E" w:rsidRPr="002E6F6D" w14:paraId="32FE982F" w14:textId="77777777" w:rsidTr="00960906">
        <w:tc>
          <w:tcPr>
            <w:tcW w:w="2122" w:type="dxa"/>
          </w:tcPr>
          <w:p w14:paraId="2A6016EA" w14:textId="77777777" w:rsidR="00B214D5" w:rsidRPr="002E6F6D" w:rsidRDefault="00B214D5" w:rsidP="00960906">
            <w:pPr>
              <w:rPr>
                <w:sz w:val="22"/>
                <w:szCs w:val="22"/>
                <w:lang w:val="es-BO"/>
              </w:rPr>
            </w:pPr>
            <w:r w:rsidRPr="002E6F6D">
              <w:rPr>
                <w:sz w:val="22"/>
                <w:szCs w:val="22"/>
                <w:lang w:val="es-BO"/>
              </w:rPr>
              <w:t>Colombia</w:t>
            </w:r>
          </w:p>
        </w:tc>
        <w:tc>
          <w:tcPr>
            <w:tcW w:w="6372" w:type="dxa"/>
          </w:tcPr>
          <w:p w14:paraId="435BC76E" w14:textId="4CB366E7" w:rsidR="00B214D5" w:rsidRPr="002E6F6D" w:rsidRDefault="00633241" w:rsidP="00960906">
            <w:pPr>
              <w:rPr>
                <w:sz w:val="22"/>
                <w:szCs w:val="22"/>
                <w:lang w:val="es-BO"/>
              </w:rPr>
            </w:pPr>
            <w:r w:rsidRPr="002E6F6D">
              <w:rPr>
                <w:sz w:val="22"/>
                <w:szCs w:val="22"/>
                <w:lang w:val="es-BO"/>
              </w:rPr>
              <w:t xml:space="preserve">Comprende los departamentos de Amazonas, Caquetá, Guainía, Guaviare, Putumayo, Vaupés, </w:t>
            </w:r>
            <w:r w:rsidR="008736C7">
              <w:rPr>
                <w:sz w:val="22"/>
                <w:szCs w:val="22"/>
                <w:lang w:val="es-BO"/>
              </w:rPr>
              <w:t xml:space="preserve">Sur del </w:t>
            </w:r>
            <w:r w:rsidRPr="002E6F6D">
              <w:rPr>
                <w:sz w:val="22"/>
                <w:szCs w:val="22"/>
                <w:lang w:val="es-BO"/>
              </w:rPr>
              <w:t xml:space="preserve">Meta y </w:t>
            </w:r>
            <w:r w:rsidR="008736C7">
              <w:rPr>
                <w:sz w:val="22"/>
                <w:szCs w:val="22"/>
                <w:lang w:val="es-BO"/>
              </w:rPr>
              <w:t xml:space="preserve">Sur de </w:t>
            </w:r>
            <w:r w:rsidRPr="002E6F6D">
              <w:rPr>
                <w:sz w:val="22"/>
                <w:szCs w:val="22"/>
                <w:lang w:val="es-BO"/>
              </w:rPr>
              <w:t>Vichada.</w:t>
            </w:r>
          </w:p>
        </w:tc>
      </w:tr>
      <w:tr w:rsidR="005F0C6E" w:rsidRPr="002E6F6D" w14:paraId="6C75806F" w14:textId="77777777" w:rsidTr="00960906">
        <w:tc>
          <w:tcPr>
            <w:tcW w:w="2122" w:type="dxa"/>
          </w:tcPr>
          <w:p w14:paraId="6C211904" w14:textId="77777777" w:rsidR="00B214D5" w:rsidRPr="002E6F6D" w:rsidRDefault="00B214D5" w:rsidP="00960906">
            <w:pPr>
              <w:rPr>
                <w:sz w:val="22"/>
                <w:szCs w:val="22"/>
                <w:lang w:val="es-BO"/>
              </w:rPr>
            </w:pPr>
            <w:r w:rsidRPr="002E6F6D">
              <w:rPr>
                <w:sz w:val="22"/>
                <w:szCs w:val="22"/>
                <w:lang w:val="es-BO"/>
              </w:rPr>
              <w:t>Guyana</w:t>
            </w:r>
          </w:p>
        </w:tc>
        <w:tc>
          <w:tcPr>
            <w:tcW w:w="6372" w:type="dxa"/>
          </w:tcPr>
          <w:p w14:paraId="4CC99567" w14:textId="3B2A34DD" w:rsidR="00B214D5" w:rsidRPr="002E6F6D" w:rsidRDefault="003040D8" w:rsidP="00960906">
            <w:pPr>
              <w:rPr>
                <w:sz w:val="22"/>
                <w:szCs w:val="22"/>
                <w:lang w:val="es-BO"/>
              </w:rPr>
            </w:pPr>
            <w:r w:rsidRPr="002E6F6D">
              <w:rPr>
                <w:sz w:val="22"/>
                <w:szCs w:val="22"/>
                <w:lang w:val="es-BO"/>
              </w:rPr>
              <w:t>Abarca toda la extensión territorial de Guyana.</w:t>
            </w:r>
          </w:p>
        </w:tc>
      </w:tr>
      <w:tr w:rsidR="005F0C6E" w:rsidRPr="002E6F6D" w14:paraId="2C245ABA" w14:textId="77777777" w:rsidTr="00960906">
        <w:tc>
          <w:tcPr>
            <w:tcW w:w="2122" w:type="dxa"/>
          </w:tcPr>
          <w:p w14:paraId="72CD115D" w14:textId="77777777" w:rsidR="00B214D5" w:rsidRPr="002E6F6D" w:rsidRDefault="00B214D5" w:rsidP="00960906">
            <w:pPr>
              <w:rPr>
                <w:sz w:val="22"/>
                <w:szCs w:val="22"/>
                <w:lang w:val="es-BO"/>
              </w:rPr>
            </w:pPr>
            <w:r w:rsidRPr="002E6F6D">
              <w:rPr>
                <w:sz w:val="22"/>
                <w:szCs w:val="22"/>
                <w:lang w:val="es-BO"/>
              </w:rPr>
              <w:t>Perú</w:t>
            </w:r>
          </w:p>
        </w:tc>
        <w:tc>
          <w:tcPr>
            <w:tcW w:w="6372" w:type="dxa"/>
          </w:tcPr>
          <w:p w14:paraId="4020247B" w14:textId="448939FC" w:rsidR="00B214D5" w:rsidRPr="002E6F6D" w:rsidRDefault="00FE111E" w:rsidP="00960906">
            <w:pPr>
              <w:rPr>
                <w:sz w:val="22"/>
                <w:szCs w:val="22"/>
                <w:lang w:val="es-BO"/>
              </w:rPr>
            </w:pPr>
            <w:r w:rsidRPr="002E6F6D">
              <w:rPr>
                <w:sz w:val="22"/>
                <w:szCs w:val="22"/>
                <w:lang w:val="es-BO"/>
              </w:rPr>
              <w:t xml:space="preserve">Comprende los departamentos </w:t>
            </w:r>
            <w:r w:rsidR="008736C7">
              <w:rPr>
                <w:sz w:val="22"/>
                <w:szCs w:val="22"/>
                <w:lang w:val="es-BO"/>
              </w:rPr>
              <w:t xml:space="preserve">amazónicos. </w:t>
            </w:r>
          </w:p>
        </w:tc>
      </w:tr>
      <w:tr w:rsidR="005F0C6E" w:rsidRPr="002E6F6D" w14:paraId="5676355A" w14:textId="77777777" w:rsidTr="00960906">
        <w:tc>
          <w:tcPr>
            <w:tcW w:w="2122" w:type="dxa"/>
          </w:tcPr>
          <w:p w14:paraId="09B95576" w14:textId="77777777" w:rsidR="00B214D5" w:rsidRPr="002E6F6D" w:rsidRDefault="00B214D5" w:rsidP="00960906">
            <w:pPr>
              <w:rPr>
                <w:sz w:val="22"/>
                <w:szCs w:val="22"/>
                <w:lang w:val="es-BO"/>
              </w:rPr>
            </w:pPr>
            <w:r w:rsidRPr="002E6F6D">
              <w:rPr>
                <w:sz w:val="22"/>
                <w:szCs w:val="22"/>
                <w:lang w:val="es-BO"/>
              </w:rPr>
              <w:t>Surinam</w:t>
            </w:r>
          </w:p>
        </w:tc>
        <w:tc>
          <w:tcPr>
            <w:tcW w:w="6372" w:type="dxa"/>
          </w:tcPr>
          <w:p w14:paraId="261032B6" w14:textId="6FC4F6E4" w:rsidR="00B214D5" w:rsidRPr="002E6F6D" w:rsidRDefault="003040D8" w:rsidP="00960906">
            <w:pPr>
              <w:rPr>
                <w:sz w:val="22"/>
                <w:szCs w:val="22"/>
                <w:lang w:val="es-BO"/>
              </w:rPr>
            </w:pPr>
            <w:r w:rsidRPr="002E6F6D">
              <w:rPr>
                <w:sz w:val="22"/>
                <w:szCs w:val="22"/>
                <w:lang w:val="es-BO"/>
              </w:rPr>
              <w:t>Abarca toda la extensión territorial de Surinam.</w:t>
            </w:r>
          </w:p>
        </w:tc>
      </w:tr>
      <w:tr w:rsidR="00B214D5" w:rsidRPr="002E6F6D" w14:paraId="5638EDA0" w14:textId="77777777" w:rsidTr="00960906">
        <w:tc>
          <w:tcPr>
            <w:tcW w:w="2122" w:type="dxa"/>
          </w:tcPr>
          <w:p w14:paraId="0FE9913E" w14:textId="77777777" w:rsidR="00B214D5" w:rsidRPr="002E6F6D" w:rsidRDefault="00B214D5" w:rsidP="00960906">
            <w:pPr>
              <w:rPr>
                <w:sz w:val="22"/>
                <w:szCs w:val="22"/>
                <w:lang w:val="es-BO"/>
              </w:rPr>
            </w:pPr>
            <w:r w:rsidRPr="002E6F6D">
              <w:rPr>
                <w:sz w:val="22"/>
                <w:szCs w:val="22"/>
                <w:lang w:val="es-BO"/>
              </w:rPr>
              <w:t>Venezuela</w:t>
            </w:r>
          </w:p>
        </w:tc>
        <w:tc>
          <w:tcPr>
            <w:tcW w:w="6372" w:type="dxa"/>
          </w:tcPr>
          <w:p w14:paraId="0E75BF4F" w14:textId="5F82402D" w:rsidR="00B214D5" w:rsidRPr="002E6F6D" w:rsidRDefault="001268B6" w:rsidP="00960906">
            <w:pPr>
              <w:rPr>
                <w:sz w:val="22"/>
                <w:szCs w:val="22"/>
                <w:lang w:val="es-BO"/>
              </w:rPr>
            </w:pPr>
            <w:r w:rsidRPr="002E6F6D">
              <w:rPr>
                <w:sz w:val="22"/>
                <w:szCs w:val="22"/>
                <w:lang w:val="es-BO"/>
              </w:rPr>
              <w:t>Corresponde a</w:t>
            </w:r>
            <w:r w:rsidR="008736C7">
              <w:rPr>
                <w:sz w:val="22"/>
                <w:szCs w:val="22"/>
                <w:lang w:val="es-BO"/>
              </w:rPr>
              <w:t xml:space="preserve"> la Cuenca del río Casiquiare/río Negro. </w:t>
            </w:r>
          </w:p>
        </w:tc>
      </w:tr>
    </w:tbl>
    <w:p w14:paraId="6100E83E" w14:textId="77777777" w:rsidR="00B214D5" w:rsidRPr="002E6F6D" w:rsidRDefault="00B214D5" w:rsidP="00B214D5">
      <w:pPr>
        <w:rPr>
          <w:sz w:val="20"/>
          <w:szCs w:val="20"/>
          <w:lang w:val="es-BO"/>
        </w:rPr>
      </w:pPr>
    </w:p>
    <w:p w14:paraId="7ADA798C" w14:textId="4BEE2740" w:rsidR="00B214D5" w:rsidRPr="002E6F6D" w:rsidRDefault="00B214D5" w:rsidP="00C471FC">
      <w:pPr>
        <w:pStyle w:val="PargrafodaLista"/>
        <w:numPr>
          <w:ilvl w:val="0"/>
          <w:numId w:val="6"/>
        </w:numPr>
        <w:tabs>
          <w:tab w:val="left" w:pos="567"/>
        </w:tabs>
        <w:spacing w:after="0" w:line="240" w:lineRule="auto"/>
        <w:ind w:left="0" w:firstLine="0"/>
        <w:jc w:val="both"/>
        <w:rPr>
          <w:rFonts w:ascii="Times New Roman" w:hAnsi="Times New Roman" w:cs="Times New Roman"/>
          <w:lang w:val="es-BO"/>
        </w:rPr>
      </w:pPr>
      <w:r w:rsidRPr="002E6F6D">
        <w:rPr>
          <w:rFonts w:ascii="Times New Roman" w:hAnsi="Times New Roman" w:cs="Times New Roman"/>
          <w:lang w:val="es-BO"/>
        </w:rPr>
        <w:t>Debido al tamaño de la Región Amazónica y su variada fisiografía, en la evaluación regional se podrán contemplar otras subdivisiones de esta región, según los autores consideren pertinente.</w:t>
      </w:r>
    </w:p>
    <w:p w14:paraId="3C703DE7" w14:textId="77777777" w:rsidR="00B214D5" w:rsidRPr="002E6F6D" w:rsidRDefault="00B214D5" w:rsidP="00B214D5">
      <w:pPr>
        <w:rPr>
          <w:b/>
          <w:bCs/>
          <w:lang w:val="es-BO"/>
        </w:rPr>
      </w:pPr>
    </w:p>
    <w:p w14:paraId="7BBF5773" w14:textId="5BEEAC26" w:rsidR="00A77645" w:rsidRPr="002E6F6D" w:rsidRDefault="004F3230" w:rsidP="00125A28">
      <w:pPr>
        <w:pStyle w:val="PargrafodaLista"/>
        <w:numPr>
          <w:ilvl w:val="0"/>
          <w:numId w:val="2"/>
        </w:numPr>
        <w:spacing w:after="0" w:line="240" w:lineRule="auto"/>
        <w:ind w:left="426" w:hanging="426"/>
        <w:rPr>
          <w:rFonts w:ascii="Times New Roman" w:hAnsi="Times New Roman" w:cs="Times New Roman"/>
          <w:b/>
          <w:bCs/>
          <w:lang w:val="es-BO"/>
        </w:rPr>
      </w:pPr>
      <w:r w:rsidRPr="002E6F6D">
        <w:rPr>
          <w:rFonts w:ascii="Times New Roman" w:hAnsi="Times New Roman" w:cs="Times New Roman"/>
          <w:b/>
          <w:bCs/>
          <w:lang w:val="es-BO"/>
        </w:rPr>
        <w:t>Utilidad</w:t>
      </w:r>
    </w:p>
    <w:p w14:paraId="26E54E9B" w14:textId="77777777" w:rsidR="004F3230" w:rsidRPr="002E6F6D" w:rsidRDefault="004F3230" w:rsidP="004F3230">
      <w:pPr>
        <w:pStyle w:val="PargrafodaLista"/>
        <w:tabs>
          <w:tab w:val="left" w:pos="567"/>
        </w:tabs>
        <w:spacing w:after="0" w:line="240" w:lineRule="auto"/>
        <w:ind w:left="0"/>
        <w:rPr>
          <w:rFonts w:ascii="Times New Roman" w:hAnsi="Times New Roman" w:cs="Times New Roman"/>
          <w:lang w:val="es-BO"/>
        </w:rPr>
      </w:pPr>
    </w:p>
    <w:p w14:paraId="62E17927" w14:textId="23D8E193" w:rsidR="00F8330A" w:rsidRDefault="00B10EC7" w:rsidP="00B10EC7">
      <w:pPr>
        <w:pStyle w:val="PargrafodaLista"/>
        <w:numPr>
          <w:ilvl w:val="0"/>
          <w:numId w:val="6"/>
        </w:numPr>
        <w:tabs>
          <w:tab w:val="left" w:pos="567"/>
        </w:tabs>
        <w:spacing w:after="0" w:line="240" w:lineRule="auto"/>
        <w:ind w:left="0" w:firstLine="0"/>
        <w:jc w:val="both"/>
        <w:rPr>
          <w:rFonts w:ascii="Times New Roman" w:hAnsi="Times New Roman" w:cs="Times New Roman"/>
          <w:lang w:val="es-BO"/>
        </w:rPr>
      </w:pPr>
      <w:r w:rsidRPr="002E6F6D">
        <w:rPr>
          <w:rFonts w:ascii="Times New Roman" w:hAnsi="Times New Roman" w:cs="Times New Roman"/>
          <w:lang w:val="es-BO"/>
        </w:rPr>
        <w:t xml:space="preserve">Este informe tiene una utilidad estratégica </w:t>
      </w:r>
      <w:r w:rsidR="000E3A58">
        <w:rPr>
          <w:rFonts w:ascii="Times New Roman" w:hAnsi="Times New Roman" w:cs="Times New Roman"/>
          <w:lang w:val="es-BO"/>
        </w:rPr>
        <w:t xml:space="preserve">que es </w:t>
      </w:r>
      <w:r w:rsidR="00F8330A">
        <w:rPr>
          <w:rFonts w:ascii="Times New Roman" w:hAnsi="Times New Roman" w:cs="Times New Roman"/>
          <w:lang w:val="es-BO"/>
        </w:rPr>
        <w:t xml:space="preserve">la posibilidad de brindar información oportuna y rigurosa para la toma de decisiones, fortaleciendo la interfaz ciencia/ política/ sociedad, generada desde el aporte participativo de los expertos de la Región Amazónica y con el protagonismo de los gobiernos de los PM de la OTCA. </w:t>
      </w:r>
      <w:r w:rsidR="00D205A8">
        <w:rPr>
          <w:rFonts w:ascii="Times New Roman" w:hAnsi="Times New Roman" w:cs="Times New Roman"/>
          <w:lang w:val="es-BO"/>
        </w:rPr>
        <w:t xml:space="preserve">Este informe permitirá generar recomendaciones basadas en la evidencia científica para contribuir a la conservación y uso </w:t>
      </w:r>
      <w:r w:rsidR="00D205A8">
        <w:rPr>
          <w:rFonts w:ascii="Times New Roman" w:hAnsi="Times New Roman" w:cs="Times New Roman"/>
          <w:lang w:val="es-BO"/>
        </w:rPr>
        <w:lastRenderedPageBreak/>
        <w:t>sostenible/sustentable de</w:t>
      </w:r>
      <w:r w:rsidR="000E3A58">
        <w:rPr>
          <w:rFonts w:ascii="Times New Roman" w:hAnsi="Times New Roman" w:cs="Times New Roman"/>
          <w:lang w:val="es-BO"/>
        </w:rPr>
        <w:t xml:space="preserve"> los componentes de</w:t>
      </w:r>
      <w:r w:rsidR="00D205A8">
        <w:rPr>
          <w:rFonts w:ascii="Times New Roman" w:hAnsi="Times New Roman" w:cs="Times New Roman"/>
          <w:lang w:val="es-BO"/>
        </w:rPr>
        <w:t xml:space="preserve"> la diversidad biológica, a la luz de los objetivos y metas del Marco Mundial para la Diversidad Biológica posterior a 2020 que sean más pertinentes para la Región Amazónica. </w:t>
      </w:r>
      <w:r w:rsidR="009A067D">
        <w:rPr>
          <w:rFonts w:ascii="Times New Roman" w:hAnsi="Times New Roman" w:cs="Times New Roman"/>
          <w:lang w:val="es-BO"/>
        </w:rPr>
        <w:t>Esta evaluación permitirá profundizar en el ámbito de la Región Amazónica los resultados de la Evaluación Global y Regional de las Américas sobre diversidad biológica y servicios ecosistémicos de la IPBES</w:t>
      </w:r>
      <w:r w:rsidR="00D205A8">
        <w:rPr>
          <w:rFonts w:ascii="Times New Roman" w:hAnsi="Times New Roman" w:cs="Times New Roman"/>
          <w:lang w:val="es-BO"/>
        </w:rPr>
        <w:t xml:space="preserve">, articulando </w:t>
      </w:r>
      <w:r w:rsidR="00F8330A">
        <w:rPr>
          <w:rFonts w:ascii="Times New Roman" w:hAnsi="Times New Roman" w:cs="Times New Roman"/>
          <w:lang w:val="es-BO"/>
        </w:rPr>
        <w:t xml:space="preserve">toda la información y análisis existentes en los PM </w:t>
      </w:r>
      <w:r w:rsidR="00D205A8">
        <w:rPr>
          <w:rFonts w:ascii="Times New Roman" w:hAnsi="Times New Roman" w:cs="Times New Roman"/>
          <w:lang w:val="es-BO"/>
        </w:rPr>
        <w:t xml:space="preserve">de la OTCA </w:t>
      </w:r>
      <w:r w:rsidR="009A067D">
        <w:rPr>
          <w:rFonts w:ascii="Times New Roman" w:hAnsi="Times New Roman" w:cs="Times New Roman"/>
          <w:lang w:val="es-BO"/>
        </w:rPr>
        <w:t>sobre la temática</w:t>
      </w:r>
      <w:r w:rsidR="00134F0D">
        <w:rPr>
          <w:rFonts w:ascii="Times New Roman" w:hAnsi="Times New Roman" w:cs="Times New Roman"/>
          <w:lang w:val="es-BO"/>
        </w:rPr>
        <w:t xml:space="preserve">. </w:t>
      </w:r>
      <w:r w:rsidR="00D205A8">
        <w:rPr>
          <w:rFonts w:ascii="Times New Roman" w:hAnsi="Times New Roman" w:cs="Times New Roman"/>
          <w:lang w:val="es-BO"/>
        </w:rPr>
        <w:t>P</w:t>
      </w:r>
      <w:r w:rsidR="00134F0D">
        <w:rPr>
          <w:rFonts w:ascii="Times New Roman" w:hAnsi="Times New Roman" w:cs="Times New Roman"/>
          <w:lang w:val="es-BO"/>
        </w:rPr>
        <w:t>ermitirá dar</w:t>
      </w:r>
      <w:r w:rsidR="00F8330A">
        <w:rPr>
          <w:rFonts w:ascii="Times New Roman" w:hAnsi="Times New Roman" w:cs="Times New Roman"/>
          <w:lang w:val="es-BO"/>
        </w:rPr>
        <w:t xml:space="preserve"> visibilidad al trabajo que se realiza en la región en favor de la conservación y utilización sostenible/ sustentable de los componentes de la diversidad biológica y funciones ambientales, servicios ecosistémicos/ ambientales.  Además, la evaluación se realizará en una coyuntura importante para la Región Amazónica que tiene que ver con la </w:t>
      </w:r>
      <w:r w:rsidR="009A067D">
        <w:rPr>
          <w:rFonts w:ascii="Times New Roman" w:hAnsi="Times New Roman" w:cs="Times New Roman"/>
          <w:lang w:val="es-BO"/>
        </w:rPr>
        <w:t xml:space="preserve">consolidación de </w:t>
      </w:r>
      <w:r w:rsidR="00F8330A">
        <w:rPr>
          <w:rFonts w:ascii="Times New Roman" w:hAnsi="Times New Roman" w:cs="Times New Roman"/>
          <w:lang w:val="es-BO"/>
        </w:rPr>
        <w:t>una visión de desarrollo sostenible/sustentable amazónica que toma en cuenta</w:t>
      </w:r>
      <w:r w:rsidR="009A067D">
        <w:rPr>
          <w:rFonts w:ascii="Times New Roman" w:hAnsi="Times New Roman" w:cs="Times New Roman"/>
          <w:lang w:val="es-BO"/>
        </w:rPr>
        <w:t xml:space="preserve"> como un aspecto fundamental</w:t>
      </w:r>
      <w:r w:rsidR="00F8330A">
        <w:rPr>
          <w:rFonts w:ascii="Times New Roman" w:hAnsi="Times New Roman" w:cs="Times New Roman"/>
          <w:lang w:val="es-BO"/>
        </w:rPr>
        <w:t xml:space="preserve"> la temática de la diversidad biológica y contribuciones de la naturaleza para las personas (funciones ambientales, servicios ecosistémicos/ambientales).</w:t>
      </w:r>
      <w:r w:rsidR="00134F0D">
        <w:rPr>
          <w:rFonts w:ascii="Times New Roman" w:hAnsi="Times New Roman" w:cs="Times New Roman"/>
          <w:lang w:val="es-BO"/>
        </w:rPr>
        <w:t xml:space="preserve"> </w:t>
      </w:r>
    </w:p>
    <w:p w14:paraId="5BD43C7C" w14:textId="77777777" w:rsidR="004F3230" w:rsidRPr="002E6F6D" w:rsidRDefault="004F3230" w:rsidP="004F3230">
      <w:pPr>
        <w:pStyle w:val="PargrafodaLista"/>
        <w:spacing w:after="0" w:line="240" w:lineRule="auto"/>
        <w:ind w:left="426"/>
        <w:rPr>
          <w:rFonts w:ascii="Times New Roman" w:hAnsi="Times New Roman" w:cs="Times New Roman"/>
          <w:b/>
          <w:bCs/>
          <w:lang w:val="es-BO"/>
        </w:rPr>
      </w:pPr>
    </w:p>
    <w:p w14:paraId="0C2FE178" w14:textId="5142FE34" w:rsidR="00A77645" w:rsidRPr="002E6F6D" w:rsidRDefault="00A77645" w:rsidP="00125A28">
      <w:pPr>
        <w:pStyle w:val="PargrafodaLista"/>
        <w:numPr>
          <w:ilvl w:val="0"/>
          <w:numId w:val="2"/>
        </w:numPr>
        <w:spacing w:after="0" w:line="240" w:lineRule="auto"/>
        <w:ind w:left="426" w:hanging="426"/>
        <w:rPr>
          <w:rFonts w:ascii="Times New Roman" w:hAnsi="Times New Roman" w:cs="Times New Roman"/>
          <w:b/>
          <w:bCs/>
          <w:lang w:val="es-BO"/>
        </w:rPr>
      </w:pPr>
      <w:r w:rsidRPr="002E6F6D">
        <w:rPr>
          <w:rFonts w:ascii="Times New Roman" w:hAnsi="Times New Roman" w:cs="Times New Roman"/>
          <w:b/>
          <w:bCs/>
          <w:lang w:val="es-BO"/>
        </w:rPr>
        <w:t>Supuestos</w:t>
      </w:r>
    </w:p>
    <w:p w14:paraId="0A36E6B0" w14:textId="77777777" w:rsidR="004F3230" w:rsidRPr="002E6F6D" w:rsidRDefault="004F3230" w:rsidP="004F3230">
      <w:pPr>
        <w:rPr>
          <w:b/>
          <w:bCs/>
          <w:lang w:val="es-BO"/>
        </w:rPr>
      </w:pPr>
    </w:p>
    <w:p w14:paraId="655D48FB" w14:textId="079E2355" w:rsidR="006948BD" w:rsidRPr="002E6F6D" w:rsidRDefault="004F3230" w:rsidP="00E14F13">
      <w:pPr>
        <w:pStyle w:val="PargrafodaLista"/>
        <w:numPr>
          <w:ilvl w:val="0"/>
          <w:numId w:val="6"/>
        </w:numPr>
        <w:tabs>
          <w:tab w:val="left" w:pos="567"/>
        </w:tabs>
        <w:spacing w:after="0" w:line="240" w:lineRule="auto"/>
        <w:ind w:left="0" w:firstLine="0"/>
        <w:jc w:val="both"/>
        <w:rPr>
          <w:lang w:val="es-BO"/>
        </w:rPr>
      </w:pPr>
      <w:r w:rsidRPr="002E6F6D">
        <w:rPr>
          <w:rFonts w:ascii="Times New Roman" w:hAnsi="Times New Roman" w:cs="Times New Roman"/>
          <w:lang w:val="es-BO"/>
        </w:rPr>
        <w:t xml:space="preserve">El supuesto central </w:t>
      </w:r>
      <w:r w:rsidR="00CC6B87" w:rsidRPr="002E6F6D">
        <w:rPr>
          <w:rFonts w:ascii="Times New Roman" w:hAnsi="Times New Roman" w:cs="Times New Roman"/>
          <w:lang w:val="es-BO"/>
        </w:rPr>
        <w:t>es</w:t>
      </w:r>
      <w:r w:rsidRPr="002E6F6D">
        <w:rPr>
          <w:rFonts w:ascii="Times New Roman" w:hAnsi="Times New Roman" w:cs="Times New Roman"/>
          <w:lang w:val="es-BO"/>
        </w:rPr>
        <w:t xml:space="preserve"> que </w:t>
      </w:r>
      <w:r w:rsidR="001A345C" w:rsidRPr="002E6F6D">
        <w:rPr>
          <w:rFonts w:ascii="Times New Roman" w:hAnsi="Times New Roman" w:cs="Times New Roman"/>
          <w:lang w:val="es-BO"/>
        </w:rPr>
        <w:t xml:space="preserve">existe </w:t>
      </w:r>
      <w:r w:rsidR="002E6F6D" w:rsidRPr="002E6F6D">
        <w:rPr>
          <w:rFonts w:ascii="Times New Roman" w:hAnsi="Times New Roman" w:cs="Times New Roman"/>
          <w:lang w:val="es-BO"/>
        </w:rPr>
        <w:t xml:space="preserve">información </w:t>
      </w:r>
      <w:r w:rsidR="007C1DF6">
        <w:rPr>
          <w:rFonts w:ascii="Times New Roman" w:hAnsi="Times New Roman" w:cs="Times New Roman"/>
          <w:lang w:val="es-BO"/>
        </w:rPr>
        <w:t>disponible</w:t>
      </w:r>
      <w:r w:rsidR="007C1DF6" w:rsidRPr="002E6F6D">
        <w:rPr>
          <w:rFonts w:ascii="Times New Roman" w:hAnsi="Times New Roman" w:cs="Times New Roman"/>
          <w:lang w:val="es-BO"/>
        </w:rPr>
        <w:t xml:space="preserve"> para</w:t>
      </w:r>
      <w:r w:rsidR="002E6F6D" w:rsidRPr="002E6F6D">
        <w:rPr>
          <w:rFonts w:ascii="Times New Roman" w:hAnsi="Times New Roman" w:cs="Times New Roman"/>
          <w:lang w:val="es-BO"/>
        </w:rPr>
        <w:t xml:space="preserve"> </w:t>
      </w:r>
      <w:r w:rsidR="00936D6C">
        <w:rPr>
          <w:rFonts w:ascii="Times New Roman" w:hAnsi="Times New Roman" w:cs="Times New Roman"/>
          <w:lang w:val="es-BO"/>
        </w:rPr>
        <w:t xml:space="preserve">el conjunto de </w:t>
      </w:r>
      <w:r w:rsidR="002E6F6D" w:rsidRPr="002E6F6D">
        <w:rPr>
          <w:rFonts w:ascii="Times New Roman" w:hAnsi="Times New Roman" w:cs="Times New Roman"/>
          <w:lang w:val="es-BO"/>
        </w:rPr>
        <w:t>los territorios amazónicos de los PM de la OTCA</w:t>
      </w:r>
      <w:r w:rsidR="00936D6C" w:rsidRPr="00936D6C">
        <w:rPr>
          <w:rFonts w:ascii="Times New Roman" w:hAnsi="Times New Roman" w:cs="Times New Roman"/>
          <w:lang w:val="es-BO"/>
        </w:rPr>
        <w:t xml:space="preserve"> </w:t>
      </w:r>
      <w:r w:rsidR="00936D6C" w:rsidRPr="00755962">
        <w:rPr>
          <w:rFonts w:ascii="Times New Roman" w:hAnsi="Times New Roman" w:cs="Times New Roman"/>
          <w:lang w:val="es-BO"/>
        </w:rPr>
        <w:t>para la realización de la evaluación</w:t>
      </w:r>
      <w:r w:rsidR="00CC6B87" w:rsidRPr="002E6F6D">
        <w:rPr>
          <w:rFonts w:ascii="Times New Roman" w:hAnsi="Times New Roman" w:cs="Times New Roman"/>
          <w:lang w:val="es-BO"/>
        </w:rPr>
        <w:t>,</w:t>
      </w:r>
      <w:r w:rsidR="0036233E" w:rsidRPr="002E6F6D">
        <w:rPr>
          <w:rFonts w:ascii="Times New Roman" w:hAnsi="Times New Roman" w:cs="Times New Roman"/>
          <w:lang w:val="es-BO"/>
        </w:rPr>
        <w:t xml:space="preserve"> </w:t>
      </w:r>
      <w:r w:rsidR="00936D6C">
        <w:rPr>
          <w:rFonts w:ascii="Times New Roman" w:hAnsi="Times New Roman" w:cs="Times New Roman"/>
          <w:lang w:val="es-BO"/>
        </w:rPr>
        <w:t>y que también</w:t>
      </w:r>
      <w:r w:rsidR="001A345C" w:rsidRPr="002E6F6D">
        <w:rPr>
          <w:rFonts w:ascii="Times New Roman" w:hAnsi="Times New Roman" w:cs="Times New Roman"/>
          <w:lang w:val="es-BO"/>
        </w:rPr>
        <w:t xml:space="preserve"> </w:t>
      </w:r>
      <w:r w:rsidR="002E6F6D">
        <w:rPr>
          <w:rFonts w:ascii="Times New Roman" w:hAnsi="Times New Roman" w:cs="Times New Roman"/>
          <w:lang w:val="es-BO"/>
        </w:rPr>
        <w:t xml:space="preserve">existe disponibilidad de información sobre </w:t>
      </w:r>
      <w:r w:rsidRPr="002E6F6D">
        <w:rPr>
          <w:rFonts w:ascii="Times New Roman" w:hAnsi="Times New Roman" w:cs="Times New Roman"/>
          <w:lang w:val="es-BO"/>
        </w:rPr>
        <w:t xml:space="preserve">los conocimientos </w:t>
      </w:r>
      <w:r w:rsidR="001A345C" w:rsidRPr="002E6F6D">
        <w:rPr>
          <w:rFonts w:ascii="Times New Roman" w:hAnsi="Times New Roman" w:cs="Times New Roman"/>
          <w:lang w:val="es-BO"/>
        </w:rPr>
        <w:t xml:space="preserve">de los pueblos </w:t>
      </w:r>
      <w:r w:rsidRPr="002E6F6D">
        <w:rPr>
          <w:rFonts w:ascii="Times New Roman" w:hAnsi="Times New Roman" w:cs="Times New Roman"/>
          <w:lang w:val="es-BO"/>
        </w:rPr>
        <w:t>indígenas</w:t>
      </w:r>
      <w:r w:rsidR="001A345C" w:rsidRPr="002E6F6D">
        <w:rPr>
          <w:rFonts w:ascii="Times New Roman" w:hAnsi="Times New Roman" w:cs="Times New Roman"/>
          <w:lang w:val="es-BO"/>
        </w:rPr>
        <w:t>, comunidades</w:t>
      </w:r>
      <w:r w:rsidRPr="002E6F6D">
        <w:rPr>
          <w:rFonts w:ascii="Times New Roman" w:hAnsi="Times New Roman" w:cs="Times New Roman"/>
          <w:lang w:val="es-BO"/>
        </w:rPr>
        <w:t xml:space="preserve"> locales </w:t>
      </w:r>
      <w:r w:rsidR="001A345C" w:rsidRPr="002E6F6D">
        <w:rPr>
          <w:rFonts w:ascii="Times New Roman" w:hAnsi="Times New Roman" w:cs="Times New Roman"/>
          <w:lang w:val="es-BO"/>
        </w:rPr>
        <w:t xml:space="preserve">y otras comunidades tribales. </w:t>
      </w:r>
      <w:r w:rsidR="002E6F6D">
        <w:rPr>
          <w:rFonts w:ascii="Times New Roman" w:hAnsi="Times New Roman" w:cs="Times New Roman"/>
          <w:lang w:val="es-BO"/>
        </w:rPr>
        <w:t>Asimismo, d</w:t>
      </w:r>
      <w:r w:rsidRPr="002E6F6D">
        <w:rPr>
          <w:rFonts w:ascii="Times New Roman" w:hAnsi="Times New Roman" w:cs="Times New Roman"/>
          <w:lang w:val="es-BO"/>
        </w:rPr>
        <w:t xml:space="preserve">e conformidad con el </w:t>
      </w:r>
      <w:r w:rsidR="001A345C" w:rsidRPr="002E6F6D">
        <w:rPr>
          <w:rFonts w:ascii="Times New Roman" w:hAnsi="Times New Roman" w:cs="Times New Roman"/>
          <w:lang w:val="es-BO"/>
        </w:rPr>
        <w:t xml:space="preserve">formato de </w:t>
      </w:r>
      <w:r w:rsidR="002E6F6D">
        <w:rPr>
          <w:rFonts w:ascii="Times New Roman" w:hAnsi="Times New Roman" w:cs="Times New Roman"/>
          <w:lang w:val="es-BO"/>
        </w:rPr>
        <w:t>e</w:t>
      </w:r>
      <w:r w:rsidR="001A345C" w:rsidRPr="002E6F6D">
        <w:rPr>
          <w:rFonts w:ascii="Times New Roman" w:hAnsi="Times New Roman" w:cs="Times New Roman"/>
          <w:lang w:val="es-BO"/>
        </w:rPr>
        <w:t xml:space="preserve">valuación de la IPBES, </w:t>
      </w:r>
      <w:r w:rsidR="002E6F6D">
        <w:rPr>
          <w:rFonts w:ascii="Times New Roman" w:hAnsi="Times New Roman" w:cs="Times New Roman"/>
          <w:lang w:val="es-BO"/>
        </w:rPr>
        <w:t xml:space="preserve">la evaluación será desarrollada por expertos de los PM, por lo que se asume que los PM de la región </w:t>
      </w:r>
      <w:r w:rsidR="00936D6C">
        <w:rPr>
          <w:rFonts w:ascii="Times New Roman" w:hAnsi="Times New Roman" w:cs="Times New Roman"/>
          <w:lang w:val="es-BO"/>
        </w:rPr>
        <w:t>contarán con la participación de los</w:t>
      </w:r>
      <w:r w:rsidR="002E6F6D">
        <w:rPr>
          <w:rFonts w:ascii="Times New Roman" w:hAnsi="Times New Roman" w:cs="Times New Roman"/>
          <w:lang w:val="es-BO"/>
        </w:rPr>
        <w:t xml:space="preserve"> expertos que requiere la elaboración de la evaluación, incluyendo los expertos en conocimientos de los pueblos indígenas y otras comunidades tribales, permitiendo una equitativa distribución de </w:t>
      </w:r>
      <w:r w:rsidR="00936D6C">
        <w:rPr>
          <w:rFonts w:ascii="Times New Roman" w:hAnsi="Times New Roman" w:cs="Times New Roman"/>
          <w:lang w:val="es-BO"/>
        </w:rPr>
        <w:t xml:space="preserve">expertos de </w:t>
      </w:r>
      <w:r w:rsidR="002E6F6D">
        <w:rPr>
          <w:rFonts w:ascii="Times New Roman" w:hAnsi="Times New Roman" w:cs="Times New Roman"/>
          <w:lang w:val="es-BO"/>
        </w:rPr>
        <w:t>los P</w:t>
      </w:r>
      <w:r w:rsidR="00936D6C">
        <w:rPr>
          <w:rFonts w:ascii="Times New Roman" w:hAnsi="Times New Roman" w:cs="Times New Roman"/>
          <w:lang w:val="es-BO"/>
        </w:rPr>
        <w:t>M</w:t>
      </w:r>
      <w:r w:rsidR="002E6F6D">
        <w:rPr>
          <w:rFonts w:ascii="Times New Roman" w:hAnsi="Times New Roman" w:cs="Times New Roman"/>
          <w:lang w:val="es-BO"/>
        </w:rPr>
        <w:t xml:space="preserve"> en la realización de la evaluación</w:t>
      </w:r>
      <w:r w:rsidR="00936D6C">
        <w:rPr>
          <w:rFonts w:ascii="Times New Roman" w:hAnsi="Times New Roman" w:cs="Times New Roman"/>
          <w:lang w:val="es-BO"/>
        </w:rPr>
        <w:t>, tanto en términos territoriales como de género</w:t>
      </w:r>
      <w:r w:rsidR="002E6F6D">
        <w:rPr>
          <w:rFonts w:ascii="Times New Roman" w:hAnsi="Times New Roman" w:cs="Times New Roman"/>
          <w:lang w:val="es-BO"/>
        </w:rPr>
        <w:t xml:space="preserve">. </w:t>
      </w:r>
      <w:r w:rsidRPr="002E6F6D">
        <w:rPr>
          <w:rFonts w:ascii="Times New Roman" w:hAnsi="Times New Roman" w:cs="Times New Roman"/>
          <w:lang w:val="es-BO"/>
        </w:rPr>
        <w:t xml:space="preserve">Otro supuesto fundamental </w:t>
      </w:r>
      <w:r w:rsidR="00936D6C">
        <w:rPr>
          <w:rFonts w:ascii="Times New Roman" w:hAnsi="Times New Roman" w:cs="Times New Roman"/>
          <w:lang w:val="es-BO"/>
        </w:rPr>
        <w:t>es que existirá</w:t>
      </w:r>
      <w:r w:rsidR="000C530F" w:rsidRPr="002E6F6D">
        <w:rPr>
          <w:rFonts w:ascii="Times New Roman" w:hAnsi="Times New Roman" w:cs="Times New Roman"/>
          <w:lang w:val="es-BO"/>
        </w:rPr>
        <w:t xml:space="preserve"> el compromiso de los gobiernos de los países amazónicos para realizar el acompañamiento a todo el proceso de evaluación</w:t>
      </w:r>
      <w:r w:rsidR="00F011D9">
        <w:rPr>
          <w:rFonts w:ascii="Times New Roman" w:hAnsi="Times New Roman" w:cs="Times New Roman"/>
          <w:lang w:val="es-BO"/>
        </w:rPr>
        <w:t xml:space="preserve"> y su aprobación</w:t>
      </w:r>
      <w:r w:rsidR="000C530F" w:rsidRPr="002E6F6D">
        <w:rPr>
          <w:rFonts w:ascii="Times New Roman" w:hAnsi="Times New Roman" w:cs="Times New Roman"/>
          <w:lang w:val="es-BO"/>
        </w:rPr>
        <w:t xml:space="preserve">. </w:t>
      </w:r>
    </w:p>
    <w:p w14:paraId="53020E35" w14:textId="77777777" w:rsidR="00E31F32" w:rsidRPr="002E6F6D" w:rsidRDefault="00E31F32" w:rsidP="00E31F32">
      <w:pPr>
        <w:pStyle w:val="PargrafodaLista"/>
        <w:tabs>
          <w:tab w:val="left" w:pos="567"/>
        </w:tabs>
        <w:spacing w:after="0" w:line="240" w:lineRule="auto"/>
        <w:ind w:left="0"/>
        <w:jc w:val="both"/>
        <w:rPr>
          <w:lang w:val="es-BO"/>
        </w:rPr>
      </w:pPr>
    </w:p>
    <w:p w14:paraId="375E7875" w14:textId="1FEA017D" w:rsidR="006948BD" w:rsidRPr="002E6F6D" w:rsidRDefault="006948BD" w:rsidP="00CC6B87">
      <w:pPr>
        <w:pStyle w:val="PargrafodaLista"/>
        <w:numPr>
          <w:ilvl w:val="0"/>
          <w:numId w:val="2"/>
        </w:numPr>
        <w:ind w:left="426" w:hanging="426"/>
        <w:rPr>
          <w:rFonts w:ascii="Times New Roman" w:hAnsi="Times New Roman" w:cs="Times New Roman"/>
          <w:b/>
          <w:bCs/>
          <w:lang w:val="es-BO"/>
        </w:rPr>
      </w:pPr>
      <w:r w:rsidRPr="002E6F6D">
        <w:rPr>
          <w:rFonts w:ascii="Times New Roman" w:hAnsi="Times New Roman" w:cs="Times New Roman"/>
          <w:b/>
          <w:bCs/>
          <w:lang w:val="es-BO"/>
        </w:rPr>
        <w:t xml:space="preserve">Asociaciones estratégicas </w:t>
      </w:r>
    </w:p>
    <w:p w14:paraId="4A44FA9C" w14:textId="77777777" w:rsidR="006948BD" w:rsidRPr="002E6F6D" w:rsidRDefault="006948BD" w:rsidP="00CC6B87">
      <w:pPr>
        <w:pStyle w:val="PargrafodaLista"/>
        <w:tabs>
          <w:tab w:val="left" w:pos="567"/>
        </w:tabs>
        <w:spacing w:after="0" w:line="240" w:lineRule="auto"/>
        <w:ind w:left="0"/>
        <w:jc w:val="both"/>
        <w:rPr>
          <w:rFonts w:ascii="Times New Roman" w:hAnsi="Times New Roman" w:cs="Times New Roman"/>
          <w:lang w:val="es-BO"/>
        </w:rPr>
      </w:pPr>
    </w:p>
    <w:p w14:paraId="240C9B94" w14:textId="57091895" w:rsidR="006948BD" w:rsidRPr="002E6F6D" w:rsidRDefault="006948BD" w:rsidP="00CC6B87">
      <w:pPr>
        <w:pStyle w:val="PargrafodaLista"/>
        <w:numPr>
          <w:ilvl w:val="0"/>
          <w:numId w:val="6"/>
        </w:numPr>
        <w:tabs>
          <w:tab w:val="left" w:pos="567"/>
        </w:tabs>
        <w:spacing w:after="0" w:line="240" w:lineRule="auto"/>
        <w:ind w:left="0" w:firstLine="0"/>
        <w:jc w:val="both"/>
        <w:rPr>
          <w:rFonts w:eastAsia="Times New Roman"/>
          <w:lang w:val="es-BO"/>
        </w:rPr>
      </w:pPr>
      <w:r w:rsidRPr="002E6F6D">
        <w:rPr>
          <w:rFonts w:ascii="Times New Roman" w:eastAsia="Times New Roman" w:hAnsi="Times New Roman" w:cs="Times New Roman"/>
          <w:lang w:val="es-BO"/>
        </w:rPr>
        <w:t xml:space="preserve">A fin de </w:t>
      </w:r>
      <w:r w:rsidR="00E2770C" w:rsidRPr="002E6F6D">
        <w:rPr>
          <w:rFonts w:ascii="Times New Roman" w:eastAsia="Times New Roman" w:hAnsi="Times New Roman" w:cs="Times New Roman"/>
          <w:lang w:val="es-BO"/>
        </w:rPr>
        <w:t>promover</w:t>
      </w:r>
      <w:r w:rsidRPr="002E6F6D">
        <w:rPr>
          <w:rFonts w:ascii="Times New Roman" w:eastAsia="Times New Roman" w:hAnsi="Times New Roman" w:cs="Times New Roman"/>
          <w:lang w:val="es-BO"/>
        </w:rPr>
        <w:t xml:space="preserve"> sinergias, </w:t>
      </w:r>
      <w:r w:rsidR="00E2770C" w:rsidRPr="002E6F6D">
        <w:rPr>
          <w:rFonts w:ascii="Times New Roman" w:eastAsia="Times New Roman" w:hAnsi="Times New Roman" w:cs="Times New Roman"/>
          <w:lang w:val="es-BO"/>
        </w:rPr>
        <w:t>la</w:t>
      </w:r>
      <w:r w:rsidRPr="002E6F6D">
        <w:rPr>
          <w:rFonts w:ascii="Times New Roman" w:eastAsia="Times New Roman" w:hAnsi="Times New Roman" w:cs="Times New Roman"/>
          <w:lang w:val="es-BO"/>
        </w:rPr>
        <w:t xml:space="preserve"> evaluación para la Región Amazónica se</w:t>
      </w:r>
      <w:r w:rsidR="00E2770C" w:rsidRPr="002E6F6D">
        <w:rPr>
          <w:rFonts w:ascii="Times New Roman" w:eastAsia="Times New Roman" w:hAnsi="Times New Roman" w:cs="Times New Roman"/>
          <w:lang w:val="es-BO"/>
        </w:rPr>
        <w:t xml:space="preserve"> articulará, </w:t>
      </w:r>
      <w:r w:rsidRPr="002E6F6D">
        <w:rPr>
          <w:rFonts w:ascii="Times New Roman" w:eastAsia="Times New Roman" w:hAnsi="Times New Roman" w:cs="Times New Roman"/>
          <w:lang w:val="es-BO"/>
        </w:rPr>
        <w:t xml:space="preserve">en la medida de lo posible, </w:t>
      </w:r>
      <w:r w:rsidR="00E2770C" w:rsidRPr="002E6F6D">
        <w:rPr>
          <w:rFonts w:ascii="Times New Roman" w:eastAsia="Times New Roman" w:hAnsi="Times New Roman" w:cs="Times New Roman"/>
          <w:lang w:val="es-BO"/>
        </w:rPr>
        <w:t>con procesos similares que hayan sido desarrollados en la región, así como con otras iniciativas que estén</w:t>
      </w:r>
      <w:r w:rsidRPr="002E6F6D">
        <w:rPr>
          <w:rFonts w:ascii="Times New Roman" w:eastAsia="Times New Roman" w:hAnsi="Times New Roman" w:cs="Times New Roman"/>
          <w:lang w:val="es-BO"/>
        </w:rPr>
        <w:t xml:space="preserve"> e</w:t>
      </w:r>
      <w:r w:rsidR="001F4F07" w:rsidRPr="002E6F6D">
        <w:rPr>
          <w:rFonts w:ascii="Times New Roman" w:eastAsia="Times New Roman" w:hAnsi="Times New Roman" w:cs="Times New Roman"/>
          <w:lang w:val="es-BO"/>
        </w:rPr>
        <w:t>n</w:t>
      </w:r>
      <w:r w:rsidRPr="002E6F6D">
        <w:rPr>
          <w:rFonts w:ascii="Times New Roman" w:eastAsia="Times New Roman" w:hAnsi="Times New Roman" w:cs="Times New Roman"/>
          <w:lang w:val="es-BO"/>
        </w:rPr>
        <w:t xml:space="preserve"> curso y puedan aportar a</w:t>
      </w:r>
      <w:r w:rsidR="009E5060">
        <w:rPr>
          <w:rFonts w:ascii="Times New Roman" w:eastAsia="Times New Roman" w:hAnsi="Times New Roman" w:cs="Times New Roman"/>
          <w:lang w:val="es-BO"/>
        </w:rPr>
        <w:t xml:space="preserve"> la evaluación</w:t>
      </w:r>
      <w:r w:rsidRPr="002E6F6D">
        <w:rPr>
          <w:rFonts w:ascii="Times New Roman" w:eastAsia="Times New Roman" w:hAnsi="Times New Roman" w:cs="Times New Roman"/>
          <w:lang w:val="es-BO"/>
        </w:rPr>
        <w:t xml:space="preserve">. </w:t>
      </w:r>
      <w:r w:rsidR="00426B66">
        <w:rPr>
          <w:rFonts w:ascii="Times New Roman" w:eastAsia="Times New Roman" w:hAnsi="Times New Roman" w:cs="Times New Roman"/>
          <w:lang w:val="es-BO"/>
        </w:rPr>
        <w:t>S</w:t>
      </w:r>
      <w:r w:rsidR="00E2770C" w:rsidRPr="002E6F6D">
        <w:rPr>
          <w:rFonts w:ascii="Times New Roman" w:eastAsia="Times New Roman" w:hAnsi="Times New Roman" w:cs="Times New Roman"/>
          <w:lang w:val="es-BO"/>
        </w:rPr>
        <w:t xml:space="preserve">e realizarán aproximaciones </w:t>
      </w:r>
      <w:r w:rsidR="00426B66">
        <w:rPr>
          <w:rFonts w:ascii="Times New Roman" w:eastAsia="Times New Roman" w:hAnsi="Times New Roman" w:cs="Times New Roman"/>
          <w:lang w:val="es-BO"/>
        </w:rPr>
        <w:t>con el sector académico e institutos especializados regionales en temas de investigación y análisis sobre diversidad biológica en los PM de la OTCA. S</w:t>
      </w:r>
      <w:r w:rsidRPr="002E6F6D">
        <w:rPr>
          <w:rFonts w:ascii="Times New Roman" w:eastAsia="Times New Roman" w:hAnsi="Times New Roman" w:cs="Times New Roman"/>
          <w:lang w:val="es-BO"/>
        </w:rPr>
        <w:t xml:space="preserve">e </w:t>
      </w:r>
      <w:r w:rsidR="00E2770C" w:rsidRPr="002E6F6D">
        <w:rPr>
          <w:rFonts w:ascii="Times New Roman" w:eastAsia="Times New Roman" w:hAnsi="Times New Roman" w:cs="Times New Roman"/>
          <w:lang w:val="es-BO"/>
        </w:rPr>
        <w:t>identificarán</w:t>
      </w:r>
      <w:r w:rsidRPr="002E6F6D">
        <w:rPr>
          <w:rFonts w:ascii="Times New Roman" w:eastAsia="Times New Roman" w:hAnsi="Times New Roman" w:cs="Times New Roman"/>
          <w:lang w:val="es-BO"/>
        </w:rPr>
        <w:t xml:space="preserve"> </w:t>
      </w:r>
      <w:r w:rsidR="00E2770C" w:rsidRPr="002E6F6D">
        <w:rPr>
          <w:rFonts w:ascii="Times New Roman" w:eastAsia="Times New Roman" w:hAnsi="Times New Roman" w:cs="Times New Roman"/>
          <w:lang w:val="es-BO"/>
        </w:rPr>
        <w:t xml:space="preserve">entidades claves </w:t>
      </w:r>
      <w:r w:rsidRPr="002E6F6D">
        <w:rPr>
          <w:rFonts w:ascii="Times New Roman" w:eastAsia="Times New Roman" w:hAnsi="Times New Roman" w:cs="Times New Roman"/>
          <w:lang w:val="es-BO"/>
        </w:rPr>
        <w:t xml:space="preserve">que pudieran </w:t>
      </w:r>
      <w:r w:rsidR="00E2770C" w:rsidRPr="002E6F6D">
        <w:rPr>
          <w:rFonts w:ascii="Times New Roman" w:eastAsia="Times New Roman" w:hAnsi="Times New Roman" w:cs="Times New Roman"/>
          <w:lang w:val="es-BO"/>
        </w:rPr>
        <w:t xml:space="preserve">proporcionar información, respaldo científico, técnico y financiero, así como coadyuvar en la difusión </w:t>
      </w:r>
      <w:r w:rsidR="00B77905" w:rsidRPr="002E6F6D">
        <w:rPr>
          <w:rFonts w:ascii="Times New Roman" w:eastAsia="Times New Roman" w:hAnsi="Times New Roman" w:cs="Times New Roman"/>
          <w:lang w:val="es-BO"/>
        </w:rPr>
        <w:t xml:space="preserve">y comunicación </w:t>
      </w:r>
      <w:r w:rsidR="00E2770C" w:rsidRPr="002E6F6D">
        <w:rPr>
          <w:rFonts w:ascii="Times New Roman" w:eastAsia="Times New Roman" w:hAnsi="Times New Roman" w:cs="Times New Roman"/>
          <w:lang w:val="es-BO"/>
        </w:rPr>
        <w:t>de los resultados de</w:t>
      </w:r>
      <w:r w:rsidR="0028796D">
        <w:rPr>
          <w:rFonts w:ascii="Times New Roman" w:eastAsia="Times New Roman" w:hAnsi="Times New Roman" w:cs="Times New Roman"/>
          <w:lang w:val="es-BO"/>
        </w:rPr>
        <w:t xml:space="preserve"> la evaluación, como son </w:t>
      </w:r>
      <w:r w:rsidR="00426B66" w:rsidRPr="00174EE2">
        <w:rPr>
          <w:rFonts w:ascii="Times New Roman" w:eastAsia="Times New Roman" w:hAnsi="Times New Roman" w:cs="Times New Roman"/>
          <w:lang w:val="es-BO"/>
        </w:rPr>
        <w:t>el Convenio de Diversidad Biológica (CDB)</w:t>
      </w:r>
      <w:r w:rsidR="00426B66">
        <w:rPr>
          <w:rFonts w:ascii="Times New Roman" w:eastAsia="Times New Roman" w:hAnsi="Times New Roman" w:cs="Times New Roman"/>
          <w:lang w:val="es-BO"/>
        </w:rPr>
        <w:t xml:space="preserve"> y</w:t>
      </w:r>
      <w:r w:rsidR="00426B66" w:rsidRPr="00174EE2">
        <w:rPr>
          <w:rFonts w:ascii="Times New Roman" w:eastAsia="Times New Roman" w:hAnsi="Times New Roman" w:cs="Times New Roman"/>
          <w:lang w:val="es-BO"/>
        </w:rPr>
        <w:t xml:space="preserve"> la Plataforma Intergubernamental de Biodiversidad y Servicios Ecosistémicos (IPBES)</w:t>
      </w:r>
      <w:r w:rsidR="00E2770C" w:rsidRPr="002E6F6D">
        <w:rPr>
          <w:rFonts w:ascii="Times New Roman" w:eastAsia="Times New Roman" w:hAnsi="Times New Roman" w:cs="Times New Roman"/>
          <w:lang w:val="es-BO"/>
        </w:rPr>
        <w:t xml:space="preserve">. </w:t>
      </w:r>
      <w:r w:rsidR="00426B66">
        <w:rPr>
          <w:rFonts w:ascii="Times New Roman" w:eastAsia="Times New Roman" w:hAnsi="Times New Roman" w:cs="Times New Roman"/>
          <w:lang w:val="es-BO"/>
        </w:rPr>
        <w:t xml:space="preserve">En esa dirección, también se realizarán coordinaciones con otras entidades como </w:t>
      </w:r>
      <w:r w:rsidR="00426B66" w:rsidRPr="00174EE2">
        <w:rPr>
          <w:rFonts w:ascii="Times New Roman" w:eastAsia="Times New Roman" w:hAnsi="Times New Roman" w:cs="Times New Roman"/>
          <w:lang w:val="es-BO"/>
        </w:rPr>
        <w:t xml:space="preserve">la Organización de las Naciones Unidas para la Alimentación y la Agricultura (FAO), la Comisión Económica para América Latina (CEPAL), </w:t>
      </w:r>
      <w:r w:rsidR="00426B66">
        <w:rPr>
          <w:rFonts w:ascii="Times New Roman" w:eastAsia="Times New Roman" w:hAnsi="Times New Roman" w:cs="Times New Roman"/>
          <w:lang w:val="es-BO"/>
        </w:rPr>
        <w:t xml:space="preserve">la Organización de </w:t>
      </w:r>
      <w:r w:rsidR="00E2770C" w:rsidRPr="002E6F6D">
        <w:rPr>
          <w:rFonts w:ascii="Times New Roman" w:eastAsia="Times New Roman" w:hAnsi="Times New Roman" w:cs="Times New Roman"/>
          <w:lang w:val="es-BO"/>
        </w:rPr>
        <w:t xml:space="preserve">Naciones Unidas </w:t>
      </w:r>
      <w:r w:rsidR="00BB1C47" w:rsidRPr="002E6F6D">
        <w:rPr>
          <w:rFonts w:ascii="Times New Roman" w:eastAsia="Times New Roman" w:hAnsi="Times New Roman" w:cs="Times New Roman"/>
          <w:lang w:val="es-BO"/>
        </w:rPr>
        <w:t>para el</w:t>
      </w:r>
      <w:r w:rsidR="00E2770C" w:rsidRPr="002E6F6D">
        <w:rPr>
          <w:rFonts w:ascii="Times New Roman" w:eastAsia="Times New Roman" w:hAnsi="Times New Roman" w:cs="Times New Roman"/>
          <w:lang w:val="es-BO"/>
        </w:rPr>
        <w:t xml:space="preserve"> Medio Ambiente</w:t>
      </w:r>
      <w:r w:rsidR="00BB1C47" w:rsidRPr="002E6F6D">
        <w:rPr>
          <w:rFonts w:ascii="Times New Roman" w:eastAsia="Times New Roman" w:hAnsi="Times New Roman" w:cs="Times New Roman"/>
          <w:lang w:val="es-BO"/>
        </w:rPr>
        <w:t xml:space="preserve"> (</w:t>
      </w:r>
      <w:r w:rsidR="00426B66">
        <w:rPr>
          <w:rFonts w:ascii="Times New Roman" w:eastAsia="Times New Roman" w:hAnsi="Times New Roman" w:cs="Times New Roman"/>
          <w:lang w:val="es-BO"/>
        </w:rPr>
        <w:t>ONU-MA</w:t>
      </w:r>
      <w:r w:rsidR="00BB1C47" w:rsidRPr="002E6F6D">
        <w:rPr>
          <w:rFonts w:ascii="Times New Roman" w:eastAsia="Times New Roman" w:hAnsi="Times New Roman" w:cs="Times New Roman"/>
          <w:lang w:val="es-BO"/>
        </w:rPr>
        <w:t>)</w:t>
      </w:r>
      <w:r w:rsidR="00E2770C" w:rsidRPr="002E6F6D">
        <w:rPr>
          <w:rFonts w:ascii="Times New Roman" w:eastAsia="Times New Roman" w:hAnsi="Times New Roman" w:cs="Times New Roman"/>
          <w:lang w:val="es-BO"/>
        </w:rPr>
        <w:t xml:space="preserve">, el </w:t>
      </w:r>
      <w:r w:rsidRPr="002E6F6D">
        <w:rPr>
          <w:rFonts w:ascii="Times New Roman" w:eastAsia="Times New Roman" w:hAnsi="Times New Roman" w:cs="Times New Roman"/>
          <w:lang w:val="es-BO"/>
        </w:rPr>
        <w:t>Instituto Interamericano de Cooperación para la Agricultura</w:t>
      </w:r>
      <w:r w:rsidR="00E2770C" w:rsidRPr="002E6F6D">
        <w:rPr>
          <w:rFonts w:ascii="Times New Roman" w:eastAsia="Times New Roman" w:hAnsi="Times New Roman" w:cs="Times New Roman"/>
          <w:lang w:val="es-BO"/>
        </w:rPr>
        <w:t xml:space="preserve"> (IICA)</w:t>
      </w:r>
      <w:r w:rsidRPr="002E6F6D">
        <w:rPr>
          <w:rFonts w:ascii="Times New Roman" w:eastAsia="Times New Roman" w:hAnsi="Times New Roman" w:cs="Times New Roman"/>
          <w:lang w:val="es-BO"/>
        </w:rPr>
        <w:t xml:space="preserve">, el Instituto Interamericano para las Investigaciones del Cambio </w:t>
      </w:r>
      <w:r w:rsidR="00E2770C" w:rsidRPr="002E6F6D">
        <w:rPr>
          <w:rFonts w:ascii="Times New Roman" w:eastAsia="Times New Roman" w:hAnsi="Times New Roman" w:cs="Times New Roman"/>
          <w:lang w:val="es-BO"/>
        </w:rPr>
        <w:t>Mundial (IAI)</w:t>
      </w:r>
      <w:r w:rsidRPr="002E6F6D">
        <w:rPr>
          <w:rFonts w:ascii="Times New Roman" w:eastAsia="Times New Roman" w:hAnsi="Times New Roman" w:cs="Times New Roman"/>
          <w:lang w:val="es-BO"/>
        </w:rPr>
        <w:t xml:space="preserve">, el Banco Interamericano de Desarrollo </w:t>
      </w:r>
      <w:r w:rsidR="00BB1C47" w:rsidRPr="002E6F6D">
        <w:rPr>
          <w:rFonts w:ascii="Times New Roman" w:eastAsia="Times New Roman" w:hAnsi="Times New Roman" w:cs="Times New Roman"/>
          <w:lang w:val="es-BO"/>
        </w:rPr>
        <w:t>(</w:t>
      </w:r>
      <w:r w:rsidRPr="002E6F6D">
        <w:rPr>
          <w:rFonts w:ascii="Times New Roman" w:eastAsia="Times New Roman" w:hAnsi="Times New Roman" w:cs="Times New Roman"/>
          <w:lang w:val="es-BO"/>
        </w:rPr>
        <w:t>BID</w:t>
      </w:r>
      <w:r w:rsidR="00BB1C47" w:rsidRPr="002E6F6D">
        <w:rPr>
          <w:rFonts w:ascii="Times New Roman" w:eastAsia="Times New Roman" w:hAnsi="Times New Roman" w:cs="Times New Roman"/>
          <w:lang w:val="es-BO"/>
        </w:rPr>
        <w:t>)</w:t>
      </w:r>
      <w:r w:rsidRPr="002E6F6D">
        <w:rPr>
          <w:rFonts w:ascii="Times New Roman" w:eastAsia="Times New Roman" w:hAnsi="Times New Roman" w:cs="Times New Roman"/>
          <w:lang w:val="es-BO"/>
        </w:rPr>
        <w:t xml:space="preserve">, </w:t>
      </w:r>
      <w:r w:rsidR="00426B66">
        <w:rPr>
          <w:rFonts w:ascii="Times New Roman" w:eastAsia="Times New Roman" w:hAnsi="Times New Roman" w:cs="Times New Roman"/>
          <w:lang w:val="es-BO"/>
        </w:rPr>
        <w:t xml:space="preserve">el Fondo para el Desarrollo de los Pueblos Indígenas de América Latina y el Caribe (FILAC), </w:t>
      </w:r>
      <w:r w:rsidRPr="002E6F6D">
        <w:rPr>
          <w:rFonts w:ascii="Times New Roman" w:eastAsia="Times New Roman" w:hAnsi="Times New Roman" w:cs="Times New Roman"/>
          <w:lang w:val="es-BO"/>
        </w:rPr>
        <w:t xml:space="preserve">el Fondo para la Amazonia BNDES, </w:t>
      </w:r>
      <w:r w:rsidR="00BB1C47" w:rsidRPr="002E6F6D">
        <w:rPr>
          <w:rFonts w:ascii="Times New Roman" w:eastAsia="Times New Roman" w:hAnsi="Times New Roman" w:cs="Times New Roman"/>
          <w:lang w:val="es-BO"/>
        </w:rPr>
        <w:t>así como muchas</w:t>
      </w:r>
      <w:r w:rsidR="00E2770C" w:rsidRPr="002E6F6D">
        <w:rPr>
          <w:rFonts w:ascii="Times New Roman" w:eastAsia="Times New Roman" w:hAnsi="Times New Roman" w:cs="Times New Roman"/>
          <w:lang w:val="es-BO"/>
        </w:rPr>
        <w:t xml:space="preserve"> otras entidades </w:t>
      </w:r>
      <w:r w:rsidR="00BB1C47" w:rsidRPr="002E6F6D">
        <w:rPr>
          <w:rFonts w:ascii="Times New Roman" w:eastAsia="Times New Roman" w:hAnsi="Times New Roman" w:cs="Times New Roman"/>
          <w:lang w:val="es-BO"/>
        </w:rPr>
        <w:t>públicas y privadas de</w:t>
      </w:r>
      <w:r w:rsidR="00E2770C" w:rsidRPr="002E6F6D">
        <w:rPr>
          <w:rFonts w:ascii="Times New Roman" w:eastAsia="Times New Roman" w:hAnsi="Times New Roman" w:cs="Times New Roman"/>
          <w:lang w:val="es-BO"/>
        </w:rPr>
        <w:t xml:space="preserve"> los países amazónicos. Cabe destacar, </w:t>
      </w:r>
      <w:r w:rsidR="00BB1C47" w:rsidRPr="002E6F6D">
        <w:rPr>
          <w:rFonts w:ascii="Times New Roman" w:eastAsia="Times New Roman" w:hAnsi="Times New Roman" w:cs="Times New Roman"/>
          <w:lang w:val="es-BO"/>
        </w:rPr>
        <w:t>asimismo</w:t>
      </w:r>
      <w:r w:rsidR="00E2770C" w:rsidRPr="002E6F6D">
        <w:rPr>
          <w:rFonts w:ascii="Times New Roman" w:eastAsia="Times New Roman" w:hAnsi="Times New Roman" w:cs="Times New Roman"/>
          <w:lang w:val="es-BO"/>
        </w:rPr>
        <w:t>, el apoyo financiero de</w:t>
      </w:r>
      <w:r w:rsidR="00440578" w:rsidRPr="002E6F6D">
        <w:rPr>
          <w:lang w:val="es-BO"/>
        </w:rPr>
        <w:t xml:space="preserve"> </w:t>
      </w:r>
      <w:r w:rsidR="00440578" w:rsidRPr="002E6F6D">
        <w:rPr>
          <w:rFonts w:ascii="Times New Roman" w:eastAsia="Times New Roman" w:hAnsi="Times New Roman" w:cs="Times New Roman"/>
          <w:lang w:val="es-BO"/>
        </w:rPr>
        <w:t>Ministerio Federal de Cooperación Económica y Desarrollo de Alemania (BMZ) para la realización de esta evaluación en el marco de una cooperación técnica a la OTCA.</w:t>
      </w:r>
    </w:p>
    <w:p w14:paraId="7F13A676" w14:textId="77777777" w:rsidR="00B05AF7" w:rsidRPr="002E6F6D" w:rsidRDefault="00B05AF7" w:rsidP="00CC6B87">
      <w:pPr>
        <w:pStyle w:val="PargrafodaLista"/>
        <w:spacing w:after="0" w:line="240" w:lineRule="auto"/>
        <w:ind w:left="360"/>
        <w:jc w:val="both"/>
        <w:rPr>
          <w:rFonts w:eastAsia="Times New Roman"/>
          <w:lang w:val="es-BO"/>
        </w:rPr>
      </w:pPr>
    </w:p>
    <w:p w14:paraId="2DA0807B" w14:textId="11B646F7" w:rsidR="00B05AF7" w:rsidRPr="002E6F6D" w:rsidRDefault="00B05AF7" w:rsidP="00B77905">
      <w:pPr>
        <w:pStyle w:val="PargrafodaLista"/>
        <w:numPr>
          <w:ilvl w:val="0"/>
          <w:numId w:val="2"/>
        </w:numPr>
        <w:ind w:left="426" w:hanging="426"/>
        <w:rPr>
          <w:rFonts w:ascii="Times New Roman" w:hAnsi="Times New Roman" w:cs="Times New Roman"/>
          <w:b/>
          <w:bCs/>
          <w:lang w:val="es-BO"/>
        </w:rPr>
      </w:pPr>
      <w:r w:rsidRPr="002E6F6D">
        <w:rPr>
          <w:rFonts w:ascii="Times New Roman" w:hAnsi="Times New Roman" w:cs="Times New Roman"/>
          <w:b/>
          <w:bCs/>
          <w:lang w:val="es-BO"/>
        </w:rPr>
        <w:t xml:space="preserve">Estructura operativa </w:t>
      </w:r>
    </w:p>
    <w:p w14:paraId="18CD2236" w14:textId="77777777" w:rsidR="00B77905" w:rsidRPr="002E6F6D" w:rsidRDefault="00B77905" w:rsidP="00B77905">
      <w:pPr>
        <w:pStyle w:val="PargrafodaLista"/>
        <w:ind w:left="426"/>
        <w:rPr>
          <w:rFonts w:ascii="Times New Roman" w:hAnsi="Times New Roman" w:cs="Times New Roman"/>
          <w:b/>
          <w:bCs/>
          <w:lang w:val="es-BO"/>
        </w:rPr>
      </w:pPr>
    </w:p>
    <w:p w14:paraId="637B527A" w14:textId="336A11E3" w:rsidR="00B77905" w:rsidRDefault="00B77905" w:rsidP="00B77905">
      <w:pPr>
        <w:pStyle w:val="PargrafodaLista"/>
        <w:numPr>
          <w:ilvl w:val="0"/>
          <w:numId w:val="6"/>
        </w:numPr>
        <w:tabs>
          <w:tab w:val="left" w:pos="567"/>
        </w:tabs>
        <w:spacing w:after="0" w:line="240" w:lineRule="auto"/>
        <w:ind w:left="0" w:firstLine="0"/>
        <w:jc w:val="both"/>
        <w:rPr>
          <w:rFonts w:ascii="Times New Roman" w:eastAsia="Times New Roman" w:hAnsi="Times New Roman" w:cs="Times New Roman"/>
          <w:lang w:val="es-BO"/>
        </w:rPr>
      </w:pPr>
      <w:r w:rsidRPr="002E6F6D">
        <w:rPr>
          <w:rFonts w:ascii="Times New Roman" w:eastAsia="Times New Roman" w:hAnsi="Times New Roman" w:cs="Times New Roman"/>
          <w:lang w:val="es-BO"/>
        </w:rPr>
        <w:t>La Secretaría Permanente de la OTCA (SP/OTCA) estará a cargo de la coordinación</w:t>
      </w:r>
      <w:r w:rsidR="00853B20">
        <w:rPr>
          <w:rFonts w:ascii="Times New Roman" w:eastAsia="Times New Roman" w:hAnsi="Times New Roman" w:cs="Times New Roman"/>
          <w:lang w:val="es-BO"/>
        </w:rPr>
        <w:t xml:space="preserve"> </w:t>
      </w:r>
      <w:r w:rsidRPr="002E6F6D">
        <w:rPr>
          <w:rFonts w:ascii="Times New Roman" w:eastAsia="Times New Roman" w:hAnsi="Times New Roman" w:cs="Times New Roman"/>
          <w:lang w:val="es-BO"/>
        </w:rPr>
        <w:t>de la evaluación con el apoyo de</w:t>
      </w:r>
      <w:r w:rsidR="00853B20">
        <w:rPr>
          <w:rFonts w:ascii="Times New Roman" w:eastAsia="Times New Roman" w:hAnsi="Times New Roman" w:cs="Times New Roman"/>
          <w:lang w:val="es-BO"/>
        </w:rPr>
        <w:t xml:space="preserve">l Instituto </w:t>
      </w:r>
      <w:r w:rsidR="00E33F6F">
        <w:rPr>
          <w:rFonts w:ascii="Times New Roman" w:eastAsia="Times New Roman" w:hAnsi="Times New Roman" w:cs="Times New Roman"/>
          <w:lang w:val="es-BO"/>
        </w:rPr>
        <w:t xml:space="preserve">de Investigación de Recursos Biológicos Alexander </w:t>
      </w:r>
      <w:proofErr w:type="spellStart"/>
      <w:r w:rsidR="00E33F6F">
        <w:rPr>
          <w:rFonts w:ascii="Times New Roman" w:eastAsia="Times New Roman" w:hAnsi="Times New Roman" w:cs="Times New Roman"/>
          <w:lang w:val="es-BO"/>
        </w:rPr>
        <w:t>von</w:t>
      </w:r>
      <w:proofErr w:type="spellEnd"/>
      <w:r w:rsidR="00E33F6F">
        <w:rPr>
          <w:rFonts w:ascii="Times New Roman" w:eastAsia="Times New Roman" w:hAnsi="Times New Roman" w:cs="Times New Roman"/>
          <w:lang w:val="es-BO"/>
        </w:rPr>
        <w:t xml:space="preserve"> </w:t>
      </w:r>
      <w:r w:rsidR="00853B20">
        <w:rPr>
          <w:rFonts w:ascii="Times New Roman" w:eastAsia="Times New Roman" w:hAnsi="Times New Roman" w:cs="Times New Roman"/>
          <w:lang w:val="es-BO"/>
        </w:rPr>
        <w:lastRenderedPageBreak/>
        <w:t xml:space="preserve">Humboldt, que prestará </w:t>
      </w:r>
      <w:r w:rsidR="0033213B">
        <w:rPr>
          <w:rFonts w:ascii="Times New Roman" w:eastAsia="Times New Roman" w:hAnsi="Times New Roman" w:cs="Times New Roman"/>
          <w:lang w:val="es-BO"/>
        </w:rPr>
        <w:t xml:space="preserve">el </w:t>
      </w:r>
      <w:r w:rsidR="00853B20">
        <w:rPr>
          <w:rFonts w:ascii="Times New Roman" w:eastAsia="Times New Roman" w:hAnsi="Times New Roman" w:cs="Times New Roman"/>
          <w:lang w:val="es-BO"/>
        </w:rPr>
        <w:t xml:space="preserve">asesoramiento técnico y científico </w:t>
      </w:r>
      <w:r w:rsidR="00E33F6F">
        <w:rPr>
          <w:rFonts w:ascii="Times New Roman" w:eastAsia="Times New Roman" w:hAnsi="Times New Roman" w:cs="Times New Roman"/>
          <w:lang w:val="es-BO"/>
        </w:rPr>
        <w:t xml:space="preserve">para la realización de la evaluación </w:t>
      </w:r>
      <w:r w:rsidR="00853B20">
        <w:rPr>
          <w:rFonts w:ascii="Times New Roman" w:eastAsia="Times New Roman" w:hAnsi="Times New Roman" w:cs="Times New Roman"/>
          <w:lang w:val="es-BO"/>
        </w:rPr>
        <w:t xml:space="preserve">bajo los principios metodológicos y conceptuales de la IPBES. </w:t>
      </w:r>
      <w:r w:rsidRPr="002E6F6D">
        <w:rPr>
          <w:rFonts w:ascii="Times New Roman" w:eastAsia="Times New Roman" w:hAnsi="Times New Roman" w:cs="Times New Roman"/>
          <w:lang w:val="es-BO"/>
        </w:rPr>
        <w:t xml:space="preserve">Se constituirá un Comité Científico con participación de académicos destacadas/os de los Países Miembros de la OTCA </w:t>
      </w:r>
      <w:r w:rsidR="00E33F6F">
        <w:rPr>
          <w:rFonts w:ascii="Times New Roman" w:eastAsia="Times New Roman" w:hAnsi="Times New Roman" w:cs="Times New Roman"/>
          <w:lang w:val="es-BO"/>
        </w:rPr>
        <w:t xml:space="preserve">(un hombre y una mujer por cada PM de la OTCA), </w:t>
      </w:r>
      <w:r w:rsidRPr="002E6F6D">
        <w:rPr>
          <w:rFonts w:ascii="Times New Roman" w:eastAsia="Times New Roman" w:hAnsi="Times New Roman" w:cs="Times New Roman"/>
          <w:lang w:val="es-BO"/>
        </w:rPr>
        <w:t xml:space="preserve">que acompañarán y supervisarán la realización de la evaluación. Asimismo, se identificará a las/os </w:t>
      </w:r>
      <w:proofErr w:type="spellStart"/>
      <w:r w:rsidRPr="002E6F6D">
        <w:rPr>
          <w:rFonts w:ascii="Times New Roman" w:eastAsia="Times New Roman" w:hAnsi="Times New Roman" w:cs="Times New Roman"/>
          <w:lang w:val="es-BO"/>
        </w:rPr>
        <w:t>co-presidentes</w:t>
      </w:r>
      <w:proofErr w:type="spellEnd"/>
      <w:r w:rsidRPr="002E6F6D">
        <w:rPr>
          <w:rFonts w:ascii="Times New Roman" w:eastAsia="Times New Roman" w:hAnsi="Times New Roman" w:cs="Times New Roman"/>
          <w:lang w:val="es-BO"/>
        </w:rPr>
        <w:t xml:space="preserve"> de</w:t>
      </w:r>
      <w:r w:rsidR="00E33F6F">
        <w:rPr>
          <w:rFonts w:ascii="Times New Roman" w:eastAsia="Times New Roman" w:hAnsi="Times New Roman" w:cs="Times New Roman"/>
          <w:lang w:val="es-BO"/>
        </w:rPr>
        <w:t xml:space="preserve"> la evaluación,</w:t>
      </w:r>
      <w:r w:rsidRPr="002E6F6D">
        <w:rPr>
          <w:rFonts w:ascii="Times New Roman" w:eastAsia="Times New Roman" w:hAnsi="Times New Roman" w:cs="Times New Roman"/>
          <w:lang w:val="es-BO"/>
        </w:rPr>
        <w:t xml:space="preserve"> autores principales coordinadores, autores principales y editores revisores para conducir la evaluación basada en los alcances del presente del documento de ámbito.</w:t>
      </w:r>
      <w:r w:rsidR="000767E5" w:rsidRPr="002E6F6D">
        <w:rPr>
          <w:rFonts w:ascii="Times New Roman" w:eastAsia="Times New Roman" w:hAnsi="Times New Roman" w:cs="Times New Roman"/>
          <w:lang w:val="es-BO"/>
        </w:rPr>
        <w:t xml:space="preserve"> Los autores</w:t>
      </w:r>
      <w:r w:rsidR="00181D76">
        <w:rPr>
          <w:rFonts w:ascii="Times New Roman" w:eastAsia="Times New Roman" w:hAnsi="Times New Roman" w:cs="Times New Roman"/>
          <w:lang w:val="es-BO"/>
        </w:rPr>
        <w:t xml:space="preserve"> (expertos)</w:t>
      </w:r>
      <w:r w:rsidR="000767E5" w:rsidRPr="002E6F6D">
        <w:rPr>
          <w:rFonts w:ascii="Times New Roman" w:eastAsia="Times New Roman" w:hAnsi="Times New Roman" w:cs="Times New Roman"/>
          <w:lang w:val="es-BO"/>
        </w:rPr>
        <w:t xml:space="preserve"> participan a título personal y voluntario y no representan formalmente a las instituciones o gobiernos que los hayan podido nominar.</w:t>
      </w:r>
      <w:r w:rsidR="00E33F6F">
        <w:rPr>
          <w:rFonts w:ascii="Times New Roman" w:eastAsia="Times New Roman" w:hAnsi="Times New Roman" w:cs="Times New Roman"/>
          <w:lang w:val="es-BO"/>
        </w:rPr>
        <w:t xml:space="preserve"> </w:t>
      </w:r>
    </w:p>
    <w:p w14:paraId="610B68FC" w14:textId="0DC76790" w:rsidR="00E33F6F" w:rsidRDefault="00E33F6F" w:rsidP="00E33F6F">
      <w:pPr>
        <w:pStyle w:val="PargrafodaLista"/>
        <w:tabs>
          <w:tab w:val="left" w:pos="567"/>
        </w:tabs>
        <w:spacing w:after="0" w:line="240" w:lineRule="auto"/>
        <w:ind w:left="0"/>
        <w:jc w:val="both"/>
        <w:rPr>
          <w:rFonts w:ascii="Times New Roman" w:eastAsia="Times New Roman" w:hAnsi="Times New Roman" w:cs="Times New Roman"/>
          <w:lang w:val="es-BO"/>
        </w:rPr>
      </w:pPr>
    </w:p>
    <w:p w14:paraId="70CC09A5" w14:textId="589A7153" w:rsidR="00E33F6F" w:rsidRPr="00181D76" w:rsidRDefault="00181D76" w:rsidP="007C1DF6">
      <w:pPr>
        <w:pStyle w:val="PargrafodaLista"/>
        <w:numPr>
          <w:ilvl w:val="0"/>
          <w:numId w:val="6"/>
        </w:numPr>
        <w:tabs>
          <w:tab w:val="left" w:pos="567"/>
        </w:tabs>
        <w:spacing w:after="0" w:line="240" w:lineRule="auto"/>
        <w:ind w:left="0" w:firstLine="0"/>
        <w:jc w:val="both"/>
        <w:rPr>
          <w:rFonts w:eastAsia="Times New Roman"/>
          <w:lang w:val="es-BO"/>
        </w:rPr>
      </w:pPr>
      <w:r>
        <w:rPr>
          <w:rFonts w:ascii="Times New Roman" w:eastAsia="Times New Roman" w:hAnsi="Times New Roman" w:cs="Times New Roman"/>
          <w:lang w:val="es-BO"/>
        </w:rPr>
        <w:t>E</w:t>
      </w:r>
      <w:r w:rsidRPr="007C1DF6">
        <w:rPr>
          <w:rFonts w:ascii="Times New Roman" w:eastAsia="Times New Roman" w:hAnsi="Times New Roman" w:cs="Times New Roman"/>
          <w:lang w:val="es-BO"/>
        </w:rPr>
        <w:t>l Comité Científico y l</w:t>
      </w:r>
      <w:r>
        <w:rPr>
          <w:rFonts w:ascii="Times New Roman" w:eastAsia="Times New Roman" w:hAnsi="Times New Roman" w:cs="Times New Roman"/>
          <w:lang w:val="es-BO"/>
        </w:rPr>
        <w:t>as/os</w:t>
      </w:r>
      <w:r w:rsidR="00E33F6F" w:rsidRPr="007C1DF6">
        <w:rPr>
          <w:rFonts w:ascii="Times New Roman" w:eastAsia="Times New Roman" w:hAnsi="Times New Roman" w:cs="Times New Roman"/>
          <w:lang w:val="es-BO"/>
        </w:rPr>
        <w:t xml:space="preserve"> </w:t>
      </w:r>
      <w:r>
        <w:rPr>
          <w:rFonts w:ascii="Times New Roman" w:eastAsia="Times New Roman" w:hAnsi="Times New Roman" w:cs="Times New Roman"/>
          <w:lang w:val="es-BO"/>
        </w:rPr>
        <w:t>expertos</w:t>
      </w:r>
      <w:r w:rsidR="00E33F6F" w:rsidRPr="007C1DF6">
        <w:rPr>
          <w:rFonts w:ascii="Times New Roman" w:eastAsia="Times New Roman" w:hAnsi="Times New Roman" w:cs="Times New Roman"/>
          <w:lang w:val="es-BO"/>
        </w:rPr>
        <w:t xml:space="preserve"> realizarán una evaluación independiente</w:t>
      </w:r>
      <w:r>
        <w:rPr>
          <w:rFonts w:ascii="Times New Roman" w:eastAsia="Times New Roman" w:hAnsi="Times New Roman" w:cs="Times New Roman"/>
          <w:lang w:val="es-BO"/>
        </w:rPr>
        <w:t>,</w:t>
      </w:r>
      <w:r w:rsidR="00E33F6F" w:rsidRPr="007C1DF6">
        <w:rPr>
          <w:rFonts w:ascii="Times New Roman" w:eastAsia="Times New Roman" w:hAnsi="Times New Roman" w:cs="Times New Roman"/>
          <w:lang w:val="es-BO"/>
        </w:rPr>
        <w:t xml:space="preserve"> </w:t>
      </w:r>
      <w:r>
        <w:rPr>
          <w:rFonts w:ascii="Times New Roman" w:eastAsia="Times New Roman" w:hAnsi="Times New Roman" w:cs="Times New Roman"/>
          <w:lang w:val="es-BO"/>
        </w:rPr>
        <w:t xml:space="preserve">en coordinación y </w:t>
      </w:r>
      <w:r w:rsidR="00E33F6F" w:rsidRPr="007C1DF6">
        <w:rPr>
          <w:rFonts w:ascii="Times New Roman" w:eastAsia="Times New Roman" w:hAnsi="Times New Roman" w:cs="Times New Roman"/>
          <w:lang w:val="es-BO"/>
        </w:rPr>
        <w:t xml:space="preserve">con el acompañamiento protagónico de los gobiernos de los países amazónicos, los que </w:t>
      </w:r>
      <w:r>
        <w:rPr>
          <w:rFonts w:ascii="Times New Roman" w:eastAsia="Times New Roman" w:hAnsi="Times New Roman" w:cs="Times New Roman"/>
          <w:lang w:val="es-BO"/>
        </w:rPr>
        <w:t>asumirán</w:t>
      </w:r>
      <w:r w:rsidR="00E33F6F" w:rsidRPr="007C1DF6">
        <w:rPr>
          <w:rFonts w:ascii="Times New Roman" w:eastAsia="Times New Roman" w:hAnsi="Times New Roman" w:cs="Times New Roman"/>
          <w:lang w:val="es-BO"/>
        </w:rPr>
        <w:t xml:space="preserve"> un rol importante en todo el proceso de evaluación, </w:t>
      </w:r>
      <w:r w:rsidR="009E5060">
        <w:rPr>
          <w:rFonts w:ascii="Times New Roman" w:eastAsia="Times New Roman" w:hAnsi="Times New Roman" w:cs="Times New Roman"/>
          <w:lang w:val="es-BO"/>
        </w:rPr>
        <w:t>empezando con</w:t>
      </w:r>
      <w:r w:rsidR="00E33F6F" w:rsidRPr="007C1DF6">
        <w:rPr>
          <w:rFonts w:ascii="Times New Roman" w:eastAsia="Times New Roman" w:hAnsi="Times New Roman" w:cs="Times New Roman"/>
          <w:lang w:val="es-BO"/>
        </w:rPr>
        <w:t xml:space="preserve"> la designación de las/os miembros del Comité Científica</w:t>
      </w:r>
      <w:r>
        <w:rPr>
          <w:rFonts w:ascii="Times New Roman" w:eastAsia="Times New Roman" w:hAnsi="Times New Roman" w:cs="Times New Roman"/>
          <w:lang w:val="es-BO"/>
        </w:rPr>
        <w:t>. Con relación al documento de ámbito participarán en</w:t>
      </w:r>
      <w:r w:rsidR="00E33F6F" w:rsidRPr="007C1DF6">
        <w:rPr>
          <w:rFonts w:ascii="Times New Roman" w:eastAsia="Times New Roman" w:hAnsi="Times New Roman" w:cs="Times New Roman"/>
          <w:lang w:val="es-BO"/>
        </w:rPr>
        <w:t xml:space="preserve"> </w:t>
      </w:r>
      <w:r>
        <w:rPr>
          <w:rFonts w:ascii="Times New Roman" w:eastAsia="Times New Roman" w:hAnsi="Times New Roman" w:cs="Times New Roman"/>
          <w:lang w:val="es-BO"/>
        </w:rPr>
        <w:t xml:space="preserve">la identificación y </w:t>
      </w:r>
      <w:r w:rsidR="00E33F6F" w:rsidRPr="007C1DF6">
        <w:rPr>
          <w:rFonts w:ascii="Times New Roman" w:eastAsia="Times New Roman" w:hAnsi="Times New Roman" w:cs="Times New Roman"/>
          <w:lang w:val="es-BO"/>
        </w:rPr>
        <w:t>designación de l</w:t>
      </w:r>
      <w:r>
        <w:rPr>
          <w:rFonts w:ascii="Times New Roman" w:eastAsia="Times New Roman" w:hAnsi="Times New Roman" w:cs="Times New Roman"/>
          <w:lang w:val="es-BO"/>
        </w:rPr>
        <w:t>as/</w:t>
      </w:r>
      <w:r w:rsidR="00E33F6F" w:rsidRPr="007C1DF6">
        <w:rPr>
          <w:rFonts w:ascii="Times New Roman" w:eastAsia="Times New Roman" w:hAnsi="Times New Roman" w:cs="Times New Roman"/>
          <w:lang w:val="es-BO"/>
        </w:rPr>
        <w:t xml:space="preserve">os </w:t>
      </w:r>
      <w:r>
        <w:rPr>
          <w:rFonts w:ascii="Times New Roman" w:eastAsia="Times New Roman" w:hAnsi="Times New Roman" w:cs="Times New Roman"/>
          <w:lang w:val="es-BO"/>
        </w:rPr>
        <w:t>expertos</w:t>
      </w:r>
      <w:r w:rsidR="00E33F6F" w:rsidRPr="007C1DF6">
        <w:rPr>
          <w:rFonts w:ascii="Times New Roman" w:eastAsia="Times New Roman" w:hAnsi="Times New Roman" w:cs="Times New Roman"/>
          <w:lang w:val="es-BO"/>
        </w:rPr>
        <w:t xml:space="preserve"> que realizan la </w:t>
      </w:r>
      <w:r>
        <w:rPr>
          <w:rFonts w:ascii="Times New Roman" w:eastAsia="Times New Roman" w:hAnsi="Times New Roman" w:cs="Times New Roman"/>
          <w:lang w:val="es-BO"/>
        </w:rPr>
        <w:t>revisión</w:t>
      </w:r>
      <w:r w:rsidR="00E33F6F" w:rsidRPr="007C1DF6">
        <w:rPr>
          <w:rFonts w:ascii="Times New Roman" w:eastAsia="Times New Roman" w:hAnsi="Times New Roman" w:cs="Times New Roman"/>
          <w:lang w:val="es-BO"/>
        </w:rPr>
        <w:t xml:space="preserve"> del documento de ámbito</w:t>
      </w:r>
      <w:r>
        <w:rPr>
          <w:rFonts w:ascii="Times New Roman" w:eastAsia="Times New Roman" w:hAnsi="Times New Roman" w:cs="Times New Roman"/>
          <w:lang w:val="es-BO"/>
        </w:rPr>
        <w:t>, así como en</w:t>
      </w:r>
      <w:r w:rsidR="00E33F6F" w:rsidRPr="007C1DF6">
        <w:rPr>
          <w:rFonts w:ascii="Times New Roman" w:eastAsia="Times New Roman" w:hAnsi="Times New Roman" w:cs="Times New Roman"/>
          <w:lang w:val="es-BO"/>
        </w:rPr>
        <w:t xml:space="preserve"> la revisión del </w:t>
      </w:r>
      <w:r>
        <w:rPr>
          <w:rFonts w:ascii="Times New Roman" w:eastAsia="Times New Roman" w:hAnsi="Times New Roman" w:cs="Times New Roman"/>
          <w:lang w:val="es-BO"/>
        </w:rPr>
        <w:t xml:space="preserve">borrador de </w:t>
      </w:r>
      <w:r w:rsidR="00E33F6F" w:rsidRPr="007C1DF6">
        <w:rPr>
          <w:rFonts w:ascii="Times New Roman" w:eastAsia="Times New Roman" w:hAnsi="Times New Roman" w:cs="Times New Roman"/>
          <w:lang w:val="es-BO"/>
        </w:rPr>
        <w:t>documento de ámbito y su aprobación final</w:t>
      </w:r>
      <w:r>
        <w:rPr>
          <w:rFonts w:ascii="Times New Roman" w:eastAsia="Times New Roman" w:hAnsi="Times New Roman" w:cs="Times New Roman"/>
          <w:lang w:val="es-BO"/>
        </w:rPr>
        <w:t xml:space="preserve">. Con relación al documento de evaluación rápida participarán en la nominación de las/os expertos que </w:t>
      </w:r>
      <w:r w:rsidR="00E33F6F" w:rsidRPr="007C1DF6">
        <w:rPr>
          <w:rFonts w:ascii="Times New Roman" w:eastAsia="Times New Roman" w:hAnsi="Times New Roman" w:cs="Times New Roman"/>
          <w:lang w:val="es-BO"/>
        </w:rPr>
        <w:t>participan en la realización de</w:t>
      </w:r>
      <w:r>
        <w:rPr>
          <w:rFonts w:ascii="Times New Roman" w:eastAsia="Times New Roman" w:hAnsi="Times New Roman" w:cs="Times New Roman"/>
          <w:lang w:val="es-BO"/>
        </w:rPr>
        <w:t xml:space="preserve"> la evaluación, así como en </w:t>
      </w:r>
      <w:r w:rsidR="00E33F6F" w:rsidRPr="007C1DF6">
        <w:rPr>
          <w:rFonts w:ascii="Times New Roman" w:eastAsia="Times New Roman" w:hAnsi="Times New Roman" w:cs="Times New Roman"/>
          <w:lang w:val="es-BO"/>
        </w:rPr>
        <w:t xml:space="preserve">la revisión </w:t>
      </w:r>
      <w:r>
        <w:rPr>
          <w:rFonts w:ascii="Times New Roman" w:eastAsia="Times New Roman" w:hAnsi="Times New Roman" w:cs="Times New Roman"/>
          <w:lang w:val="es-BO"/>
        </w:rPr>
        <w:t>d</w:t>
      </w:r>
      <w:r w:rsidR="00E33F6F" w:rsidRPr="007C1DF6">
        <w:rPr>
          <w:rFonts w:ascii="Times New Roman" w:eastAsia="Times New Roman" w:hAnsi="Times New Roman" w:cs="Times New Roman"/>
          <w:lang w:val="es-BO"/>
        </w:rPr>
        <w:t>el borrador de la evaluación</w:t>
      </w:r>
      <w:r>
        <w:rPr>
          <w:rFonts w:ascii="Times New Roman" w:eastAsia="Times New Roman" w:hAnsi="Times New Roman" w:cs="Times New Roman"/>
          <w:lang w:val="es-BO"/>
        </w:rPr>
        <w:t>,</w:t>
      </w:r>
      <w:r w:rsidR="00E33F6F" w:rsidRPr="007C1DF6">
        <w:rPr>
          <w:rFonts w:ascii="Times New Roman" w:eastAsia="Times New Roman" w:hAnsi="Times New Roman" w:cs="Times New Roman"/>
          <w:lang w:val="es-BO"/>
        </w:rPr>
        <w:t xml:space="preserve"> y </w:t>
      </w:r>
      <w:r>
        <w:rPr>
          <w:rFonts w:ascii="Times New Roman" w:eastAsia="Times New Roman" w:hAnsi="Times New Roman" w:cs="Times New Roman"/>
          <w:lang w:val="es-BO"/>
        </w:rPr>
        <w:t xml:space="preserve">en la </w:t>
      </w:r>
      <w:r w:rsidR="00E33F6F" w:rsidRPr="007C1DF6">
        <w:rPr>
          <w:rFonts w:ascii="Times New Roman" w:eastAsia="Times New Roman" w:hAnsi="Times New Roman" w:cs="Times New Roman"/>
          <w:lang w:val="es-BO"/>
        </w:rPr>
        <w:t>aprobación del documento final de</w:t>
      </w:r>
      <w:r>
        <w:rPr>
          <w:rFonts w:ascii="Times New Roman" w:eastAsia="Times New Roman" w:hAnsi="Times New Roman" w:cs="Times New Roman"/>
          <w:lang w:val="es-BO"/>
        </w:rPr>
        <w:t xml:space="preserve"> la evaluación.</w:t>
      </w:r>
    </w:p>
    <w:p w14:paraId="35DCC05A" w14:textId="77777777" w:rsidR="00E33F6F" w:rsidRPr="002E6F6D" w:rsidRDefault="00E33F6F" w:rsidP="007C1DF6">
      <w:pPr>
        <w:pStyle w:val="PargrafodaLista"/>
        <w:tabs>
          <w:tab w:val="left" w:pos="567"/>
        </w:tabs>
        <w:spacing w:after="0" w:line="240" w:lineRule="auto"/>
        <w:ind w:left="0"/>
        <w:jc w:val="both"/>
        <w:rPr>
          <w:rFonts w:ascii="Times New Roman" w:eastAsia="Times New Roman" w:hAnsi="Times New Roman" w:cs="Times New Roman"/>
          <w:lang w:val="es-BO"/>
        </w:rPr>
      </w:pPr>
    </w:p>
    <w:p w14:paraId="5B25E729" w14:textId="233DD21B" w:rsidR="00A77645" w:rsidRPr="002E6F6D" w:rsidRDefault="00A77645" w:rsidP="004256AA">
      <w:pPr>
        <w:pStyle w:val="PargrafodaLista"/>
        <w:numPr>
          <w:ilvl w:val="0"/>
          <w:numId w:val="1"/>
        </w:numPr>
        <w:spacing w:after="0" w:line="240" w:lineRule="auto"/>
        <w:ind w:left="426" w:hanging="426"/>
        <w:rPr>
          <w:rFonts w:ascii="Times New Roman" w:hAnsi="Times New Roman" w:cs="Times New Roman"/>
          <w:b/>
          <w:bCs/>
          <w:lang w:val="es-BO"/>
        </w:rPr>
      </w:pPr>
      <w:r w:rsidRPr="002E6F6D">
        <w:rPr>
          <w:rFonts w:ascii="Times New Roman" w:hAnsi="Times New Roman" w:cs="Times New Roman"/>
          <w:b/>
          <w:bCs/>
          <w:lang w:val="es-BO"/>
        </w:rPr>
        <w:t>Esquema de los capítulos</w:t>
      </w:r>
    </w:p>
    <w:p w14:paraId="552C4EEB" w14:textId="77777777" w:rsidR="004256AA" w:rsidRPr="002E6F6D" w:rsidRDefault="004256AA" w:rsidP="004256AA">
      <w:pPr>
        <w:rPr>
          <w:lang w:val="es-BO"/>
        </w:rPr>
      </w:pPr>
    </w:p>
    <w:p w14:paraId="08177DBF" w14:textId="4FC7A284" w:rsidR="008E3C59" w:rsidRPr="002E6F6D" w:rsidRDefault="0036233E" w:rsidP="006948BD">
      <w:pPr>
        <w:pStyle w:val="PargrafodaLista"/>
        <w:numPr>
          <w:ilvl w:val="0"/>
          <w:numId w:val="6"/>
        </w:numPr>
        <w:tabs>
          <w:tab w:val="left" w:pos="567"/>
        </w:tabs>
        <w:spacing w:after="0" w:line="240" w:lineRule="auto"/>
        <w:ind w:left="0" w:firstLine="0"/>
        <w:jc w:val="both"/>
        <w:rPr>
          <w:rFonts w:ascii="Times New Roman" w:hAnsi="Times New Roman" w:cs="Times New Roman"/>
          <w:lang w:val="es-BO"/>
        </w:rPr>
      </w:pPr>
      <w:r w:rsidRPr="002E6F6D">
        <w:rPr>
          <w:rFonts w:ascii="Times New Roman" w:hAnsi="Times New Roman" w:cs="Times New Roman"/>
          <w:lang w:val="es-BO"/>
        </w:rPr>
        <w:t xml:space="preserve">El informe de evaluación para la Región Amazónica </w:t>
      </w:r>
      <w:r w:rsidR="008E3C59" w:rsidRPr="002E6F6D">
        <w:rPr>
          <w:rFonts w:ascii="Times New Roman" w:hAnsi="Times New Roman" w:cs="Times New Roman"/>
          <w:lang w:val="es-BO"/>
        </w:rPr>
        <w:t xml:space="preserve">contará con </w:t>
      </w:r>
      <w:r w:rsidR="00DB29B5" w:rsidRPr="002E6F6D">
        <w:rPr>
          <w:rFonts w:ascii="Times New Roman" w:hAnsi="Times New Roman" w:cs="Times New Roman"/>
          <w:lang w:val="es-BO"/>
        </w:rPr>
        <w:t xml:space="preserve">siete </w:t>
      </w:r>
      <w:r w:rsidR="008E3C59" w:rsidRPr="002E6F6D">
        <w:rPr>
          <w:rFonts w:ascii="Times New Roman" w:hAnsi="Times New Roman" w:cs="Times New Roman"/>
          <w:lang w:val="es-BO"/>
        </w:rPr>
        <w:t>(</w:t>
      </w:r>
      <w:r w:rsidR="00DB29B5" w:rsidRPr="002E6F6D">
        <w:rPr>
          <w:rFonts w:ascii="Times New Roman" w:hAnsi="Times New Roman" w:cs="Times New Roman"/>
          <w:lang w:val="es-BO"/>
        </w:rPr>
        <w:t>7</w:t>
      </w:r>
      <w:r w:rsidR="008E3C59" w:rsidRPr="002E6F6D">
        <w:rPr>
          <w:rFonts w:ascii="Times New Roman" w:hAnsi="Times New Roman" w:cs="Times New Roman"/>
          <w:lang w:val="es-BO"/>
        </w:rPr>
        <w:t>) capítulos, con el siguiente alcance:</w:t>
      </w:r>
    </w:p>
    <w:p w14:paraId="4BAC8727" w14:textId="77777777" w:rsidR="008E3C59" w:rsidRPr="002E6F6D" w:rsidRDefault="008E3C59" w:rsidP="008E3C59">
      <w:pPr>
        <w:jc w:val="both"/>
        <w:rPr>
          <w:lang w:val="es-BO"/>
        </w:rPr>
      </w:pPr>
    </w:p>
    <w:p w14:paraId="2EB2B4CD" w14:textId="61B1EE89" w:rsidR="00E97F45" w:rsidRPr="002E6F6D" w:rsidRDefault="00AE5933" w:rsidP="00960906">
      <w:pPr>
        <w:pStyle w:val="PargrafodaLista"/>
        <w:numPr>
          <w:ilvl w:val="0"/>
          <w:numId w:val="6"/>
        </w:numPr>
        <w:tabs>
          <w:tab w:val="left" w:pos="567"/>
        </w:tabs>
        <w:spacing w:after="0" w:line="240" w:lineRule="auto"/>
        <w:ind w:left="0" w:firstLine="0"/>
        <w:jc w:val="both"/>
        <w:rPr>
          <w:rFonts w:ascii="Times New Roman" w:hAnsi="Times New Roman" w:cs="Times New Roman"/>
          <w:lang w:val="es-BO"/>
        </w:rPr>
      </w:pPr>
      <w:r w:rsidRPr="002E6F6D">
        <w:rPr>
          <w:rFonts w:ascii="Times New Roman" w:hAnsi="Times New Roman" w:cs="Times New Roman"/>
          <w:b/>
          <w:bCs/>
          <w:lang w:val="es-BO"/>
        </w:rPr>
        <w:t>C</w:t>
      </w:r>
      <w:r w:rsidR="008E3C59" w:rsidRPr="002E6F6D">
        <w:rPr>
          <w:rFonts w:ascii="Times New Roman" w:hAnsi="Times New Roman" w:cs="Times New Roman"/>
          <w:b/>
          <w:bCs/>
          <w:lang w:val="es-BO"/>
        </w:rPr>
        <w:t>apítulo 1</w:t>
      </w:r>
      <w:r w:rsidRPr="002E6F6D">
        <w:rPr>
          <w:rFonts w:ascii="Times New Roman" w:hAnsi="Times New Roman" w:cs="Times New Roman"/>
          <w:b/>
          <w:bCs/>
          <w:lang w:val="es-BO"/>
        </w:rPr>
        <w:t>. Introducción y Contexto.</w:t>
      </w:r>
      <w:r w:rsidRPr="002E6F6D">
        <w:rPr>
          <w:rFonts w:ascii="Times New Roman" w:hAnsi="Times New Roman" w:cs="Times New Roman"/>
          <w:lang w:val="es-BO"/>
        </w:rPr>
        <w:t xml:space="preserve"> </w:t>
      </w:r>
      <w:r w:rsidR="00B77905" w:rsidRPr="002E6F6D">
        <w:rPr>
          <w:rFonts w:ascii="Times New Roman" w:hAnsi="Times New Roman" w:cs="Times New Roman"/>
          <w:lang w:val="es-BO"/>
        </w:rPr>
        <w:t>En este capítulo se presentarán la justificación e importancia de la evaluación regional, conjuntamente con las p</w:t>
      </w:r>
      <w:r w:rsidR="00E97F45" w:rsidRPr="002E6F6D">
        <w:rPr>
          <w:rFonts w:ascii="Times New Roman" w:hAnsi="Times New Roman" w:cs="Times New Roman"/>
          <w:lang w:val="es-BO"/>
        </w:rPr>
        <w:t xml:space="preserve">reguntas principales a </w:t>
      </w:r>
      <w:r w:rsidR="00900AC3" w:rsidRPr="002E6F6D">
        <w:rPr>
          <w:rFonts w:ascii="Times New Roman" w:hAnsi="Times New Roman" w:cs="Times New Roman"/>
          <w:lang w:val="es-BO"/>
        </w:rPr>
        <w:t xml:space="preserve">ser </w:t>
      </w:r>
      <w:r w:rsidR="00E97F45" w:rsidRPr="002E6F6D">
        <w:rPr>
          <w:rFonts w:ascii="Times New Roman" w:hAnsi="Times New Roman" w:cs="Times New Roman"/>
          <w:lang w:val="es-BO"/>
        </w:rPr>
        <w:t>respond</w:t>
      </w:r>
      <w:r w:rsidR="00900AC3" w:rsidRPr="002E6F6D">
        <w:rPr>
          <w:rFonts w:ascii="Times New Roman" w:hAnsi="Times New Roman" w:cs="Times New Roman"/>
          <w:lang w:val="es-BO"/>
        </w:rPr>
        <w:t>idas</w:t>
      </w:r>
      <w:r w:rsidR="00E97F45" w:rsidRPr="002E6F6D">
        <w:rPr>
          <w:rFonts w:ascii="Times New Roman" w:hAnsi="Times New Roman" w:cs="Times New Roman"/>
          <w:lang w:val="es-BO"/>
        </w:rPr>
        <w:t xml:space="preserve"> en la </w:t>
      </w:r>
      <w:r w:rsidR="00E40633" w:rsidRPr="002E6F6D">
        <w:rPr>
          <w:rFonts w:ascii="Times New Roman" w:hAnsi="Times New Roman" w:cs="Times New Roman"/>
          <w:lang w:val="es-BO"/>
        </w:rPr>
        <w:t>misma.</w:t>
      </w:r>
      <w:r w:rsidR="00B77905" w:rsidRPr="002E6F6D">
        <w:rPr>
          <w:rFonts w:ascii="Times New Roman" w:hAnsi="Times New Roman" w:cs="Times New Roman"/>
          <w:lang w:val="es-BO"/>
        </w:rPr>
        <w:t xml:space="preserve"> Asimismo, se establecerá la r</w:t>
      </w:r>
      <w:r w:rsidR="001C212B" w:rsidRPr="002E6F6D">
        <w:rPr>
          <w:rFonts w:ascii="Times New Roman" w:hAnsi="Times New Roman" w:cs="Times New Roman"/>
          <w:lang w:val="es-BO"/>
        </w:rPr>
        <w:t xml:space="preserve">elación </w:t>
      </w:r>
      <w:r w:rsidR="00B77905" w:rsidRPr="002E6F6D">
        <w:rPr>
          <w:rFonts w:ascii="Times New Roman" w:hAnsi="Times New Roman" w:cs="Times New Roman"/>
          <w:lang w:val="es-BO"/>
        </w:rPr>
        <w:t xml:space="preserve">de la evaluación </w:t>
      </w:r>
      <w:r w:rsidR="001C212B" w:rsidRPr="002E6F6D">
        <w:rPr>
          <w:rFonts w:ascii="Times New Roman" w:hAnsi="Times New Roman" w:cs="Times New Roman"/>
          <w:lang w:val="es-BO"/>
        </w:rPr>
        <w:t>con la agenda estratégica y acciones en curso de la OTCA.</w:t>
      </w:r>
      <w:r w:rsidR="00B77905" w:rsidRPr="002E6F6D">
        <w:rPr>
          <w:rFonts w:ascii="Times New Roman" w:hAnsi="Times New Roman" w:cs="Times New Roman"/>
          <w:lang w:val="es-BO"/>
        </w:rPr>
        <w:t xml:space="preserve"> También se incorporará una e</w:t>
      </w:r>
      <w:r w:rsidR="00E97F45" w:rsidRPr="002E6F6D">
        <w:rPr>
          <w:rFonts w:ascii="Times New Roman" w:hAnsi="Times New Roman" w:cs="Times New Roman"/>
          <w:lang w:val="es-BO"/>
        </w:rPr>
        <w:t>xplicación del marco conceptual IPBES</w:t>
      </w:r>
      <w:r w:rsidR="00306721" w:rsidRPr="002E6F6D">
        <w:rPr>
          <w:rFonts w:ascii="Times New Roman" w:hAnsi="Times New Roman" w:cs="Times New Roman"/>
          <w:lang w:val="es-BO"/>
        </w:rPr>
        <w:t xml:space="preserve"> y </w:t>
      </w:r>
      <w:r w:rsidR="00B77905" w:rsidRPr="002E6F6D">
        <w:rPr>
          <w:rFonts w:ascii="Times New Roman" w:hAnsi="Times New Roman" w:cs="Times New Roman"/>
          <w:lang w:val="es-BO"/>
        </w:rPr>
        <w:t xml:space="preserve">las </w:t>
      </w:r>
      <w:r w:rsidR="00306721" w:rsidRPr="002E6F6D">
        <w:rPr>
          <w:rFonts w:ascii="Times New Roman" w:hAnsi="Times New Roman" w:cs="Times New Roman"/>
          <w:lang w:val="es-BO"/>
        </w:rPr>
        <w:t>definiciones</w:t>
      </w:r>
      <w:r w:rsidR="00B77905" w:rsidRPr="002E6F6D">
        <w:rPr>
          <w:rFonts w:ascii="Times New Roman" w:hAnsi="Times New Roman" w:cs="Times New Roman"/>
          <w:lang w:val="es-BO"/>
        </w:rPr>
        <w:t xml:space="preserve"> pertinentes</w:t>
      </w:r>
      <w:r w:rsidR="00E97F45" w:rsidRPr="002E6F6D">
        <w:rPr>
          <w:rFonts w:ascii="Times New Roman" w:hAnsi="Times New Roman" w:cs="Times New Roman"/>
          <w:lang w:val="es-BO"/>
        </w:rPr>
        <w:t>.</w:t>
      </w:r>
      <w:r w:rsidR="00B77905" w:rsidRPr="002E6F6D">
        <w:rPr>
          <w:rFonts w:ascii="Times New Roman" w:hAnsi="Times New Roman" w:cs="Times New Roman"/>
          <w:lang w:val="es-BO"/>
        </w:rPr>
        <w:t xml:space="preserve"> En este capítulo se realizará una introducción a los aspectos principales de la Región Amazónica y las unidades de análisis del informe, destacando los principales aspectos de atención de la evaluación. Finalmente, se introducirán los aspectos metodológicos y técnicos, así como la estructura del informe. </w:t>
      </w:r>
    </w:p>
    <w:p w14:paraId="1A07DFA2" w14:textId="77777777" w:rsidR="00E97F45" w:rsidRPr="002E6F6D" w:rsidRDefault="00E97F45" w:rsidP="00B77905">
      <w:pPr>
        <w:tabs>
          <w:tab w:val="left" w:pos="567"/>
        </w:tabs>
        <w:jc w:val="both"/>
        <w:rPr>
          <w:strike/>
          <w:highlight w:val="yellow"/>
          <w:lang w:val="es-BO"/>
        </w:rPr>
      </w:pPr>
    </w:p>
    <w:p w14:paraId="3D8B547C" w14:textId="2DBC3A10" w:rsidR="00C41EC2" w:rsidRPr="002E6F6D" w:rsidRDefault="00AE5933" w:rsidP="006948BD">
      <w:pPr>
        <w:pStyle w:val="PargrafodaLista"/>
        <w:numPr>
          <w:ilvl w:val="0"/>
          <w:numId w:val="6"/>
        </w:numPr>
        <w:tabs>
          <w:tab w:val="left" w:pos="567"/>
        </w:tabs>
        <w:spacing w:after="0" w:line="240" w:lineRule="auto"/>
        <w:ind w:left="0" w:firstLine="0"/>
        <w:jc w:val="both"/>
        <w:rPr>
          <w:rFonts w:ascii="Times New Roman" w:hAnsi="Times New Roman" w:cs="Times New Roman"/>
          <w:lang w:val="es-BO"/>
        </w:rPr>
      </w:pPr>
      <w:r w:rsidRPr="002E6F6D">
        <w:rPr>
          <w:rFonts w:ascii="Times New Roman" w:hAnsi="Times New Roman" w:cs="Times New Roman"/>
          <w:b/>
          <w:bCs/>
          <w:lang w:val="es-BO"/>
        </w:rPr>
        <w:t>C</w:t>
      </w:r>
      <w:r w:rsidR="008E3C59" w:rsidRPr="002E6F6D">
        <w:rPr>
          <w:rFonts w:ascii="Times New Roman" w:hAnsi="Times New Roman" w:cs="Times New Roman"/>
          <w:b/>
          <w:bCs/>
          <w:lang w:val="es-BO"/>
        </w:rPr>
        <w:t>apítulo 2</w:t>
      </w:r>
      <w:r w:rsidRPr="002E6F6D">
        <w:rPr>
          <w:rFonts w:ascii="Times New Roman" w:hAnsi="Times New Roman" w:cs="Times New Roman"/>
          <w:b/>
          <w:bCs/>
          <w:lang w:val="es-BO"/>
        </w:rPr>
        <w:t>. S</w:t>
      </w:r>
      <w:r w:rsidR="00EB6030" w:rsidRPr="002E6F6D">
        <w:rPr>
          <w:rFonts w:ascii="Times New Roman" w:hAnsi="Times New Roman" w:cs="Times New Roman"/>
          <w:b/>
          <w:bCs/>
          <w:lang w:val="es-BO"/>
        </w:rPr>
        <w:t>ituación, tendencias y dinámica de la diversidad biológica y de l</w:t>
      </w:r>
      <w:r w:rsidR="00FB21B2">
        <w:rPr>
          <w:rFonts w:ascii="Times New Roman" w:hAnsi="Times New Roman" w:cs="Times New Roman"/>
          <w:b/>
          <w:bCs/>
          <w:lang w:val="es-BO"/>
        </w:rPr>
        <w:t>as funciones ambientales, servicios ecosistémicos/ambientales, contribuciones de la naturaleza para las personas</w:t>
      </w:r>
      <w:r w:rsidR="008E3C59" w:rsidRPr="002E6F6D">
        <w:rPr>
          <w:rFonts w:ascii="Times New Roman" w:hAnsi="Times New Roman" w:cs="Times New Roman"/>
          <w:lang w:val="es-BO"/>
        </w:rPr>
        <w:t>. E</w:t>
      </w:r>
      <w:r w:rsidRPr="002E6F6D">
        <w:rPr>
          <w:rFonts w:ascii="Times New Roman" w:hAnsi="Times New Roman" w:cs="Times New Roman"/>
          <w:lang w:val="es-BO"/>
        </w:rPr>
        <w:t xml:space="preserve">ste </w:t>
      </w:r>
      <w:r w:rsidR="008E3C59" w:rsidRPr="002E6F6D">
        <w:rPr>
          <w:rFonts w:ascii="Times New Roman" w:hAnsi="Times New Roman" w:cs="Times New Roman"/>
          <w:lang w:val="es-BO"/>
        </w:rPr>
        <w:t xml:space="preserve">capítulo </w:t>
      </w:r>
      <w:r w:rsidRPr="002E6F6D">
        <w:rPr>
          <w:rFonts w:ascii="Times New Roman" w:hAnsi="Times New Roman" w:cs="Times New Roman"/>
          <w:lang w:val="es-BO"/>
        </w:rPr>
        <w:t>presentará una evaluación de los conocimientos sobre las tendencias pasadas y presentes</w:t>
      </w:r>
      <w:r w:rsidR="00FB21B2">
        <w:rPr>
          <w:rFonts w:ascii="Times New Roman" w:hAnsi="Times New Roman" w:cs="Times New Roman"/>
          <w:lang w:val="es-BO"/>
        </w:rPr>
        <w:t>, así como</w:t>
      </w:r>
      <w:r w:rsidRPr="002E6F6D">
        <w:rPr>
          <w:rFonts w:ascii="Times New Roman" w:hAnsi="Times New Roman" w:cs="Times New Roman"/>
          <w:lang w:val="es-BO"/>
        </w:rPr>
        <w:t xml:space="preserve"> la dinámica futura de la diversidad biológica y de los ecosistemas, así como sus efectos sobre los bienes y servicios </w:t>
      </w:r>
      <w:r w:rsidR="00FB21B2">
        <w:rPr>
          <w:rFonts w:ascii="Times New Roman" w:hAnsi="Times New Roman" w:cs="Times New Roman"/>
          <w:lang w:val="es-BO"/>
        </w:rPr>
        <w:t>cl</w:t>
      </w:r>
      <w:r w:rsidRPr="002E6F6D">
        <w:rPr>
          <w:rFonts w:ascii="Times New Roman" w:hAnsi="Times New Roman" w:cs="Times New Roman"/>
          <w:lang w:val="es-BO"/>
        </w:rPr>
        <w:t>ave</w:t>
      </w:r>
      <w:r w:rsidR="00FB21B2">
        <w:rPr>
          <w:rFonts w:ascii="Times New Roman" w:hAnsi="Times New Roman" w:cs="Times New Roman"/>
          <w:lang w:val="es-BO"/>
        </w:rPr>
        <w:t>s</w:t>
      </w:r>
      <w:r w:rsidRPr="002E6F6D">
        <w:rPr>
          <w:rFonts w:ascii="Times New Roman" w:hAnsi="Times New Roman" w:cs="Times New Roman"/>
          <w:lang w:val="es-BO"/>
        </w:rPr>
        <w:t xml:space="preserve"> </w:t>
      </w:r>
      <w:r w:rsidR="00FB21B2">
        <w:rPr>
          <w:rFonts w:ascii="Times New Roman" w:hAnsi="Times New Roman" w:cs="Times New Roman"/>
          <w:lang w:val="es-BO"/>
        </w:rPr>
        <w:t xml:space="preserve">de la Región Amazónica. </w:t>
      </w:r>
      <w:r w:rsidR="00C65F8D" w:rsidRPr="002E6F6D">
        <w:rPr>
          <w:rFonts w:ascii="Times New Roman" w:hAnsi="Times New Roman" w:cs="Times New Roman"/>
          <w:lang w:val="es-BO"/>
        </w:rPr>
        <w:t xml:space="preserve">Se </w:t>
      </w:r>
      <w:r w:rsidR="00FB21B2">
        <w:rPr>
          <w:rFonts w:ascii="Times New Roman" w:hAnsi="Times New Roman" w:cs="Times New Roman"/>
          <w:lang w:val="es-BO"/>
        </w:rPr>
        <w:t>realizará una identificación de</w:t>
      </w:r>
      <w:r w:rsidR="00C65F8D" w:rsidRPr="002E6F6D">
        <w:rPr>
          <w:rFonts w:ascii="Times New Roman" w:hAnsi="Times New Roman" w:cs="Times New Roman"/>
          <w:lang w:val="es-BO"/>
        </w:rPr>
        <w:t xml:space="preserve"> </w:t>
      </w:r>
      <w:r w:rsidR="001B70B6" w:rsidRPr="002E6F6D">
        <w:rPr>
          <w:rFonts w:ascii="Times New Roman" w:hAnsi="Times New Roman" w:cs="Times New Roman"/>
          <w:lang w:val="es-BO"/>
        </w:rPr>
        <w:t>l</w:t>
      </w:r>
      <w:r w:rsidR="00C65F8D" w:rsidRPr="002E6F6D">
        <w:rPr>
          <w:rFonts w:ascii="Times New Roman" w:hAnsi="Times New Roman" w:cs="Times New Roman"/>
          <w:lang w:val="es-BO"/>
        </w:rPr>
        <w:t>os principales aportes</w:t>
      </w:r>
      <w:r w:rsidR="00FB21B2">
        <w:rPr>
          <w:rFonts w:ascii="Times New Roman" w:hAnsi="Times New Roman" w:cs="Times New Roman"/>
          <w:lang w:val="es-BO"/>
        </w:rPr>
        <w:t xml:space="preserve"> </w:t>
      </w:r>
      <w:r w:rsidR="00C65F8D" w:rsidRPr="002E6F6D">
        <w:rPr>
          <w:rFonts w:ascii="Times New Roman" w:hAnsi="Times New Roman" w:cs="Times New Roman"/>
          <w:lang w:val="es-BO"/>
        </w:rPr>
        <w:t>de las funciones ambientales</w:t>
      </w:r>
      <w:r w:rsidR="00FB21B2">
        <w:rPr>
          <w:rFonts w:ascii="Times New Roman" w:hAnsi="Times New Roman" w:cs="Times New Roman"/>
          <w:lang w:val="es-BO"/>
        </w:rPr>
        <w:t xml:space="preserve">, </w:t>
      </w:r>
      <w:r w:rsidR="00C65F8D" w:rsidRPr="002E6F6D">
        <w:rPr>
          <w:rFonts w:ascii="Times New Roman" w:hAnsi="Times New Roman" w:cs="Times New Roman"/>
          <w:lang w:val="es-BO"/>
        </w:rPr>
        <w:t>servicios ecosistémicos/</w:t>
      </w:r>
      <w:r w:rsidR="00FB21B2">
        <w:rPr>
          <w:rFonts w:ascii="Times New Roman" w:hAnsi="Times New Roman" w:cs="Times New Roman"/>
          <w:lang w:val="es-BO"/>
        </w:rPr>
        <w:t>ambientales y</w:t>
      </w:r>
      <w:r w:rsidR="00C65F8D" w:rsidRPr="002E6F6D">
        <w:rPr>
          <w:rFonts w:ascii="Times New Roman" w:hAnsi="Times New Roman" w:cs="Times New Roman"/>
          <w:lang w:val="es-BO"/>
        </w:rPr>
        <w:t xml:space="preserve"> contribuciones de la naturaleza para la gente</w:t>
      </w:r>
      <w:r w:rsidR="00C41EC2" w:rsidRPr="002E6F6D">
        <w:rPr>
          <w:rFonts w:ascii="Times New Roman" w:hAnsi="Times New Roman" w:cs="Times New Roman"/>
          <w:lang w:val="es-BO"/>
        </w:rPr>
        <w:t xml:space="preserve">, y cómo sus cambios están incidiendo en </w:t>
      </w:r>
      <w:r w:rsidR="00C65F8D" w:rsidRPr="002E6F6D">
        <w:rPr>
          <w:rFonts w:ascii="Times New Roman" w:hAnsi="Times New Roman" w:cs="Times New Roman"/>
          <w:lang w:val="es-BO"/>
        </w:rPr>
        <w:t>la calidad de vida</w:t>
      </w:r>
      <w:r w:rsidR="00C41EC2" w:rsidRPr="002E6F6D">
        <w:rPr>
          <w:rFonts w:ascii="Times New Roman" w:hAnsi="Times New Roman" w:cs="Times New Roman"/>
          <w:lang w:val="es-BO"/>
        </w:rPr>
        <w:t xml:space="preserve"> y en e</w:t>
      </w:r>
      <w:r w:rsidR="00C65F8D" w:rsidRPr="002E6F6D">
        <w:rPr>
          <w:rFonts w:ascii="Times New Roman" w:hAnsi="Times New Roman" w:cs="Times New Roman"/>
          <w:lang w:val="es-BO"/>
        </w:rPr>
        <w:t>l desarrollo socio-económico en diferentes ámbitos (</w:t>
      </w:r>
      <w:r w:rsidR="00FB21B2">
        <w:rPr>
          <w:rFonts w:ascii="Times New Roman" w:hAnsi="Times New Roman" w:cs="Times New Roman"/>
          <w:lang w:val="es-BO"/>
        </w:rPr>
        <w:t>territorial</w:t>
      </w:r>
      <w:r w:rsidR="00C65F8D" w:rsidRPr="002E6F6D">
        <w:rPr>
          <w:rFonts w:ascii="Times New Roman" w:hAnsi="Times New Roman" w:cs="Times New Roman"/>
          <w:lang w:val="es-BO"/>
        </w:rPr>
        <w:t xml:space="preserve">, nacional y regional). </w:t>
      </w:r>
      <w:r w:rsidR="00FB21B2">
        <w:rPr>
          <w:rFonts w:ascii="Times New Roman" w:hAnsi="Times New Roman" w:cs="Times New Roman"/>
          <w:lang w:val="es-BO"/>
        </w:rPr>
        <w:t xml:space="preserve">Se realizará una aproximación a la múltiple valoración de los servicios ecosistémicos/ambientales </w:t>
      </w:r>
      <w:r w:rsidR="00970DB5">
        <w:rPr>
          <w:rFonts w:ascii="Times New Roman" w:hAnsi="Times New Roman" w:cs="Times New Roman"/>
          <w:lang w:val="es-BO"/>
        </w:rPr>
        <w:t>para reconocer su contribución a las economías nacionales</w:t>
      </w:r>
      <w:r w:rsidR="00FB21B2">
        <w:rPr>
          <w:rFonts w:ascii="Times New Roman" w:hAnsi="Times New Roman" w:cs="Times New Roman"/>
          <w:lang w:val="es-BO"/>
        </w:rPr>
        <w:t>,</w:t>
      </w:r>
      <w:r w:rsidR="00FB21B2" w:rsidRPr="00174EE2">
        <w:rPr>
          <w:rFonts w:ascii="Times New Roman" w:hAnsi="Times New Roman" w:cs="Times New Roman"/>
          <w:lang w:val="es-BO"/>
        </w:rPr>
        <w:t xml:space="preserve"> </w:t>
      </w:r>
      <w:r w:rsidR="00FB21B2">
        <w:rPr>
          <w:rFonts w:ascii="Times New Roman" w:hAnsi="Times New Roman" w:cs="Times New Roman"/>
          <w:lang w:val="es-BO"/>
        </w:rPr>
        <w:t>S</w:t>
      </w:r>
      <w:r w:rsidR="00FB21B2" w:rsidRPr="00B476AC">
        <w:rPr>
          <w:rFonts w:ascii="Times New Roman" w:hAnsi="Times New Roman" w:cs="Times New Roman"/>
          <w:lang w:val="es-BO"/>
        </w:rPr>
        <w:t xml:space="preserve">e esbozarán las </w:t>
      </w:r>
      <w:r w:rsidR="00FB21B2">
        <w:rPr>
          <w:rFonts w:ascii="Times New Roman" w:hAnsi="Times New Roman" w:cs="Times New Roman"/>
          <w:lang w:val="es-BO"/>
        </w:rPr>
        <w:t xml:space="preserve">principales </w:t>
      </w:r>
      <w:r w:rsidR="00FB21B2" w:rsidRPr="00B476AC">
        <w:rPr>
          <w:rFonts w:ascii="Times New Roman" w:hAnsi="Times New Roman" w:cs="Times New Roman"/>
          <w:lang w:val="es-BO"/>
        </w:rPr>
        <w:t>tendencias</w:t>
      </w:r>
      <w:r w:rsidR="00A654D6">
        <w:rPr>
          <w:rFonts w:ascii="Times New Roman" w:hAnsi="Times New Roman" w:cs="Times New Roman"/>
          <w:lang w:val="es-BO"/>
        </w:rPr>
        <w:t xml:space="preserve"> futuras</w:t>
      </w:r>
      <w:r w:rsidR="00FB21B2" w:rsidRPr="00B476AC">
        <w:rPr>
          <w:rFonts w:ascii="Times New Roman" w:hAnsi="Times New Roman" w:cs="Times New Roman"/>
          <w:lang w:val="es-BO"/>
        </w:rPr>
        <w:t xml:space="preserve"> </w:t>
      </w:r>
      <w:r w:rsidR="00FB21B2">
        <w:rPr>
          <w:rFonts w:ascii="Times New Roman" w:hAnsi="Times New Roman" w:cs="Times New Roman"/>
          <w:lang w:val="es-BO"/>
        </w:rPr>
        <w:t>tomando particularmente en cuenta los aspectos vinculados al rol de la biotecnología y bioeconomía en el futuro amazónico</w:t>
      </w:r>
      <w:r w:rsidR="00FB21B2" w:rsidRPr="00D31856">
        <w:rPr>
          <w:rFonts w:ascii="Times New Roman" w:hAnsi="Times New Roman" w:cs="Times New Roman"/>
          <w:lang w:val="es-BO"/>
        </w:rPr>
        <w:t xml:space="preserve">. </w:t>
      </w:r>
      <w:r w:rsidR="00232227" w:rsidRPr="002E6F6D">
        <w:rPr>
          <w:rFonts w:ascii="Times New Roman" w:hAnsi="Times New Roman" w:cs="Times New Roman"/>
          <w:lang w:val="es-BO"/>
        </w:rPr>
        <w:t xml:space="preserve">Este capítulo desarrollará el análisis bajo el enfoque del desarrollo sostenible/sustentable, reconociendo la complementariedad entre los ámbitos sociales, económicos, ambientales, y culturales, que interactúan </w:t>
      </w:r>
      <w:r w:rsidR="00031AE5" w:rsidRPr="002E6F6D">
        <w:rPr>
          <w:rFonts w:ascii="Times New Roman" w:hAnsi="Times New Roman" w:cs="Times New Roman"/>
          <w:lang w:val="es-BO"/>
        </w:rPr>
        <w:t>y forman la complejidad de</w:t>
      </w:r>
      <w:r w:rsidR="00232227" w:rsidRPr="002E6F6D">
        <w:rPr>
          <w:rFonts w:ascii="Times New Roman" w:hAnsi="Times New Roman" w:cs="Times New Roman"/>
          <w:lang w:val="es-BO"/>
        </w:rPr>
        <w:t xml:space="preserve"> la Región Amazónica, así como los múltiples valores y sistemas de conocimiento, incluyendo el de los pueblos indígenas, comunidades locales y otras comunidades tribales.</w:t>
      </w:r>
      <w:r w:rsidR="00031AE5" w:rsidRPr="002E6F6D">
        <w:rPr>
          <w:rFonts w:ascii="Times New Roman" w:hAnsi="Times New Roman" w:cs="Times New Roman"/>
          <w:lang w:val="es-BO"/>
        </w:rPr>
        <w:t xml:space="preserve"> </w:t>
      </w:r>
    </w:p>
    <w:p w14:paraId="434F2146" w14:textId="77777777" w:rsidR="00DB29B5" w:rsidRPr="002E6F6D" w:rsidRDefault="00DB29B5" w:rsidP="00DB29B5">
      <w:pPr>
        <w:pStyle w:val="PargrafodaLista"/>
        <w:tabs>
          <w:tab w:val="left" w:pos="567"/>
        </w:tabs>
        <w:spacing w:after="0" w:line="240" w:lineRule="auto"/>
        <w:ind w:left="0"/>
        <w:jc w:val="both"/>
        <w:rPr>
          <w:rFonts w:ascii="Times New Roman" w:hAnsi="Times New Roman" w:cs="Times New Roman"/>
          <w:lang w:val="es-BO"/>
        </w:rPr>
      </w:pPr>
    </w:p>
    <w:p w14:paraId="32065962" w14:textId="5AE5B7F1" w:rsidR="00236B59" w:rsidRPr="002E6F6D" w:rsidRDefault="008E3C59" w:rsidP="006948BD">
      <w:pPr>
        <w:pStyle w:val="PargrafodaLista"/>
        <w:numPr>
          <w:ilvl w:val="0"/>
          <w:numId w:val="6"/>
        </w:numPr>
        <w:tabs>
          <w:tab w:val="left" w:pos="567"/>
        </w:tabs>
        <w:spacing w:after="0" w:line="240" w:lineRule="auto"/>
        <w:ind w:left="0" w:firstLine="0"/>
        <w:jc w:val="both"/>
        <w:rPr>
          <w:rFonts w:ascii="Times New Roman" w:hAnsi="Times New Roman" w:cs="Times New Roman"/>
          <w:lang w:val="es-BO"/>
        </w:rPr>
      </w:pPr>
      <w:r w:rsidRPr="002E6F6D">
        <w:rPr>
          <w:rFonts w:ascii="Times New Roman" w:hAnsi="Times New Roman" w:cs="Times New Roman"/>
          <w:b/>
          <w:bCs/>
          <w:lang w:val="es-BO"/>
        </w:rPr>
        <w:t xml:space="preserve">Capítulo </w:t>
      </w:r>
      <w:r w:rsidR="00031AE5" w:rsidRPr="002E6F6D">
        <w:rPr>
          <w:rFonts w:ascii="Times New Roman" w:hAnsi="Times New Roman" w:cs="Times New Roman"/>
          <w:b/>
          <w:bCs/>
          <w:lang w:val="es-BO"/>
        </w:rPr>
        <w:t>3</w:t>
      </w:r>
      <w:r w:rsidRPr="002E6F6D">
        <w:rPr>
          <w:rFonts w:ascii="Times New Roman" w:hAnsi="Times New Roman" w:cs="Times New Roman"/>
          <w:b/>
          <w:bCs/>
          <w:lang w:val="es-BO"/>
        </w:rPr>
        <w:t xml:space="preserve">. Impulsores de </w:t>
      </w:r>
      <w:r w:rsidR="001432D6" w:rsidRPr="002E6F6D">
        <w:rPr>
          <w:rFonts w:ascii="Times New Roman" w:hAnsi="Times New Roman" w:cs="Times New Roman"/>
          <w:b/>
          <w:bCs/>
          <w:lang w:val="es-BO"/>
        </w:rPr>
        <w:t xml:space="preserve">las </w:t>
      </w:r>
      <w:r w:rsidRPr="002E6F6D">
        <w:rPr>
          <w:rFonts w:ascii="Times New Roman" w:hAnsi="Times New Roman" w:cs="Times New Roman"/>
          <w:b/>
          <w:bCs/>
          <w:lang w:val="es-BO"/>
        </w:rPr>
        <w:t>amenaza</w:t>
      </w:r>
      <w:r w:rsidR="001432D6" w:rsidRPr="002E6F6D">
        <w:rPr>
          <w:rFonts w:ascii="Times New Roman" w:hAnsi="Times New Roman" w:cs="Times New Roman"/>
          <w:b/>
          <w:bCs/>
          <w:lang w:val="es-BO"/>
        </w:rPr>
        <w:t>s</w:t>
      </w:r>
      <w:r w:rsidRPr="002E6F6D">
        <w:rPr>
          <w:rFonts w:ascii="Times New Roman" w:hAnsi="Times New Roman" w:cs="Times New Roman"/>
          <w:b/>
          <w:bCs/>
          <w:lang w:val="es-BO"/>
        </w:rPr>
        <w:t xml:space="preserve">, </w:t>
      </w:r>
      <w:r w:rsidR="009264CC">
        <w:rPr>
          <w:rFonts w:ascii="Times New Roman" w:hAnsi="Times New Roman" w:cs="Times New Roman"/>
          <w:b/>
          <w:bCs/>
          <w:lang w:val="es-BO"/>
        </w:rPr>
        <w:t xml:space="preserve">pérdidas, </w:t>
      </w:r>
      <w:r w:rsidR="002E6F6D" w:rsidRPr="002E6F6D">
        <w:rPr>
          <w:rFonts w:ascii="Times New Roman" w:hAnsi="Times New Roman" w:cs="Times New Roman"/>
          <w:b/>
          <w:bCs/>
          <w:lang w:val="es-BO"/>
        </w:rPr>
        <w:t>oportunidades</w:t>
      </w:r>
      <w:r w:rsidRPr="002E6F6D">
        <w:rPr>
          <w:rFonts w:ascii="Times New Roman" w:hAnsi="Times New Roman" w:cs="Times New Roman"/>
          <w:b/>
          <w:bCs/>
          <w:lang w:val="es-BO"/>
        </w:rPr>
        <w:t xml:space="preserve"> y transformación de la naturaleza.</w:t>
      </w:r>
      <w:r w:rsidRPr="002E6F6D">
        <w:rPr>
          <w:rFonts w:ascii="Times New Roman" w:hAnsi="Times New Roman" w:cs="Times New Roman"/>
          <w:lang w:val="es-BO"/>
        </w:rPr>
        <w:t xml:space="preserve"> </w:t>
      </w:r>
      <w:r w:rsidR="00154C0E" w:rsidRPr="002E6F6D">
        <w:rPr>
          <w:rFonts w:ascii="Times New Roman" w:hAnsi="Times New Roman" w:cs="Times New Roman"/>
          <w:lang w:val="es-BO"/>
        </w:rPr>
        <w:t>En este capítulo se</w:t>
      </w:r>
      <w:r w:rsidRPr="002E6F6D">
        <w:rPr>
          <w:rFonts w:ascii="Times New Roman" w:hAnsi="Times New Roman" w:cs="Times New Roman"/>
          <w:lang w:val="es-BO"/>
        </w:rPr>
        <w:t xml:space="preserve"> identificar</w:t>
      </w:r>
      <w:r w:rsidR="00154C0E" w:rsidRPr="002E6F6D">
        <w:rPr>
          <w:rFonts w:ascii="Times New Roman" w:hAnsi="Times New Roman" w:cs="Times New Roman"/>
          <w:lang w:val="es-BO"/>
        </w:rPr>
        <w:t>á</w:t>
      </w:r>
      <w:r w:rsidRPr="002E6F6D">
        <w:rPr>
          <w:rFonts w:ascii="Times New Roman" w:hAnsi="Times New Roman" w:cs="Times New Roman"/>
          <w:lang w:val="es-BO"/>
        </w:rPr>
        <w:t xml:space="preserve"> y analizar</w:t>
      </w:r>
      <w:r w:rsidR="00154C0E" w:rsidRPr="002E6F6D">
        <w:rPr>
          <w:rFonts w:ascii="Times New Roman" w:hAnsi="Times New Roman" w:cs="Times New Roman"/>
          <w:lang w:val="es-BO"/>
        </w:rPr>
        <w:t>á</w:t>
      </w:r>
      <w:r w:rsidRPr="002E6F6D">
        <w:rPr>
          <w:rFonts w:ascii="Times New Roman" w:hAnsi="Times New Roman" w:cs="Times New Roman"/>
          <w:lang w:val="es-BO"/>
        </w:rPr>
        <w:t xml:space="preserve">, a través de un análisis sistémico, los impulsores de amenaza, </w:t>
      </w:r>
      <w:r w:rsidR="009264CC">
        <w:rPr>
          <w:rFonts w:ascii="Times New Roman" w:hAnsi="Times New Roman" w:cs="Times New Roman"/>
          <w:lang w:val="es-BO"/>
        </w:rPr>
        <w:t xml:space="preserve">pérdidas, </w:t>
      </w:r>
      <w:r w:rsidR="002E6F6D" w:rsidRPr="002E6F6D">
        <w:rPr>
          <w:rFonts w:ascii="Times New Roman" w:hAnsi="Times New Roman" w:cs="Times New Roman"/>
          <w:lang w:val="es-BO"/>
        </w:rPr>
        <w:t xml:space="preserve">oportunidades, </w:t>
      </w:r>
      <w:r w:rsidR="009264CC">
        <w:rPr>
          <w:rFonts w:ascii="Times New Roman" w:hAnsi="Times New Roman" w:cs="Times New Roman"/>
          <w:lang w:val="es-BO"/>
        </w:rPr>
        <w:t>y</w:t>
      </w:r>
      <w:r w:rsidRPr="002E6F6D">
        <w:rPr>
          <w:rFonts w:ascii="Times New Roman" w:hAnsi="Times New Roman" w:cs="Times New Roman"/>
          <w:lang w:val="es-BO"/>
        </w:rPr>
        <w:t xml:space="preserve"> transformación de la naturaleza y </w:t>
      </w:r>
      <w:r w:rsidRPr="002E6F6D">
        <w:rPr>
          <w:rFonts w:ascii="Times New Roman" w:hAnsi="Times New Roman" w:cs="Times New Roman"/>
          <w:lang w:val="es-BO"/>
        </w:rPr>
        <w:lastRenderedPageBreak/>
        <w:t xml:space="preserve">conexiones </w:t>
      </w:r>
      <w:r w:rsidR="00154C0E" w:rsidRPr="002E6F6D">
        <w:rPr>
          <w:rFonts w:ascii="Times New Roman" w:hAnsi="Times New Roman" w:cs="Times New Roman"/>
          <w:lang w:val="es-BO"/>
        </w:rPr>
        <w:t xml:space="preserve">principales </w:t>
      </w:r>
      <w:r w:rsidRPr="002E6F6D">
        <w:rPr>
          <w:rFonts w:ascii="Times New Roman" w:hAnsi="Times New Roman" w:cs="Times New Roman"/>
          <w:lang w:val="es-BO"/>
        </w:rPr>
        <w:t xml:space="preserve">con variables sociales, culturales, políticas y económicas, que permitan evaluar los desafíos </w:t>
      </w:r>
      <w:r w:rsidR="00154C0E" w:rsidRPr="002E6F6D">
        <w:rPr>
          <w:rFonts w:ascii="Times New Roman" w:hAnsi="Times New Roman" w:cs="Times New Roman"/>
          <w:lang w:val="es-BO"/>
        </w:rPr>
        <w:t>regionales</w:t>
      </w:r>
      <w:r w:rsidRPr="002E6F6D">
        <w:rPr>
          <w:rFonts w:ascii="Times New Roman" w:hAnsi="Times New Roman" w:cs="Times New Roman"/>
          <w:lang w:val="es-BO"/>
        </w:rPr>
        <w:t xml:space="preserve">. De acuerdo al marco conceptual de la IPBES, los impulsores directos </w:t>
      </w:r>
      <w:r w:rsidR="009264CC">
        <w:rPr>
          <w:rFonts w:ascii="Times New Roman" w:hAnsi="Times New Roman" w:cs="Times New Roman"/>
          <w:lang w:val="es-BO"/>
        </w:rPr>
        <w:t xml:space="preserve">(conversión del hábitat, cambio climático, contaminación e introducción de especies, entre otros) </w:t>
      </w:r>
      <w:r w:rsidRPr="002E6F6D">
        <w:rPr>
          <w:rFonts w:ascii="Times New Roman" w:hAnsi="Times New Roman" w:cs="Times New Roman"/>
          <w:lang w:val="es-BO"/>
        </w:rPr>
        <w:t xml:space="preserve">e indirectos </w:t>
      </w:r>
      <w:r w:rsidR="009264CC">
        <w:rPr>
          <w:rFonts w:ascii="Times New Roman" w:hAnsi="Times New Roman" w:cs="Times New Roman"/>
          <w:lang w:val="es-BO"/>
        </w:rPr>
        <w:t xml:space="preserve">(aspectos sociopolíticos, económicos, tecnológicos y culturales, entre otros) </w:t>
      </w:r>
      <w:r w:rsidRPr="002E6F6D">
        <w:rPr>
          <w:rFonts w:ascii="Times New Roman" w:hAnsi="Times New Roman" w:cs="Times New Roman"/>
          <w:lang w:val="es-BO"/>
        </w:rPr>
        <w:t>son considerados como elemento</w:t>
      </w:r>
      <w:r w:rsidR="00154C0E" w:rsidRPr="002E6F6D">
        <w:rPr>
          <w:rFonts w:ascii="Times New Roman" w:hAnsi="Times New Roman" w:cs="Times New Roman"/>
          <w:lang w:val="es-BO"/>
        </w:rPr>
        <w:t>s</w:t>
      </w:r>
      <w:r w:rsidRPr="002E6F6D">
        <w:rPr>
          <w:rFonts w:ascii="Times New Roman" w:hAnsi="Times New Roman" w:cs="Times New Roman"/>
          <w:lang w:val="es-BO"/>
        </w:rPr>
        <w:t xml:space="preserve"> dinámico</w:t>
      </w:r>
      <w:r w:rsidR="00154C0E" w:rsidRPr="002E6F6D">
        <w:rPr>
          <w:rFonts w:ascii="Times New Roman" w:hAnsi="Times New Roman" w:cs="Times New Roman"/>
          <w:lang w:val="es-BO"/>
        </w:rPr>
        <w:t>s</w:t>
      </w:r>
      <w:r w:rsidRPr="002E6F6D">
        <w:rPr>
          <w:rFonts w:ascii="Times New Roman" w:hAnsi="Times New Roman" w:cs="Times New Roman"/>
          <w:lang w:val="es-BO"/>
        </w:rPr>
        <w:t xml:space="preserve"> que forma</w:t>
      </w:r>
      <w:r w:rsidR="00154C0E" w:rsidRPr="002E6F6D">
        <w:rPr>
          <w:rFonts w:ascii="Times New Roman" w:hAnsi="Times New Roman" w:cs="Times New Roman"/>
          <w:lang w:val="es-BO"/>
        </w:rPr>
        <w:t>n</w:t>
      </w:r>
      <w:r w:rsidRPr="002E6F6D">
        <w:rPr>
          <w:rFonts w:ascii="Times New Roman" w:hAnsi="Times New Roman" w:cs="Times New Roman"/>
          <w:lang w:val="es-BO"/>
        </w:rPr>
        <w:t xml:space="preserve"> parte de una red de variables interdependientes entre sí.</w:t>
      </w:r>
      <w:r w:rsidR="00154C0E" w:rsidRPr="002E6F6D">
        <w:rPr>
          <w:rFonts w:ascii="Times New Roman" w:hAnsi="Times New Roman" w:cs="Times New Roman"/>
          <w:lang w:val="es-BO"/>
        </w:rPr>
        <w:t xml:space="preserve"> </w:t>
      </w:r>
      <w:r w:rsidR="00C41EC2" w:rsidRPr="002E6F6D">
        <w:rPr>
          <w:rFonts w:ascii="Times New Roman" w:hAnsi="Times New Roman" w:cs="Times New Roman"/>
          <w:lang w:val="es-BO"/>
        </w:rPr>
        <w:t>Este capítulo también incorporará un acercamiento al conocimiento sobre los umbrales de resiliencia de los ecosistemas y el acercamiento de la Región Amazónica en el logro de las metas Aichi y ODS de la agenda 2030 de desarrollo sostenible.</w:t>
      </w:r>
    </w:p>
    <w:p w14:paraId="68E5FE0E" w14:textId="77777777" w:rsidR="00236B59" w:rsidRPr="002E6F6D" w:rsidRDefault="00236B59" w:rsidP="00236B59">
      <w:pPr>
        <w:pStyle w:val="PargrafodaLista"/>
        <w:tabs>
          <w:tab w:val="left" w:pos="567"/>
        </w:tabs>
        <w:spacing w:after="0" w:line="240" w:lineRule="auto"/>
        <w:ind w:left="0"/>
        <w:jc w:val="both"/>
        <w:rPr>
          <w:rFonts w:ascii="Times New Roman" w:hAnsi="Times New Roman" w:cs="Times New Roman"/>
          <w:lang w:val="es-BO"/>
        </w:rPr>
      </w:pPr>
    </w:p>
    <w:p w14:paraId="7F96B2EA" w14:textId="271237E3" w:rsidR="00092A2D" w:rsidRPr="002E6F6D" w:rsidRDefault="008E3C59" w:rsidP="006948BD">
      <w:pPr>
        <w:pStyle w:val="PargrafodaLista"/>
        <w:numPr>
          <w:ilvl w:val="0"/>
          <w:numId w:val="6"/>
        </w:numPr>
        <w:tabs>
          <w:tab w:val="left" w:pos="567"/>
        </w:tabs>
        <w:spacing w:after="0" w:line="240" w:lineRule="auto"/>
        <w:ind w:left="0" w:firstLine="0"/>
        <w:jc w:val="both"/>
        <w:rPr>
          <w:rFonts w:ascii="Times New Roman" w:hAnsi="Times New Roman" w:cs="Times New Roman"/>
          <w:lang w:val="es-BO"/>
        </w:rPr>
      </w:pPr>
      <w:r w:rsidRPr="002E6F6D">
        <w:rPr>
          <w:rFonts w:ascii="Times New Roman" w:hAnsi="Times New Roman" w:cs="Times New Roman"/>
          <w:b/>
          <w:bCs/>
          <w:lang w:val="es-BO"/>
        </w:rPr>
        <w:t xml:space="preserve">Capítulo </w:t>
      </w:r>
      <w:r w:rsidR="00092A2D" w:rsidRPr="002E6F6D">
        <w:rPr>
          <w:rFonts w:ascii="Times New Roman" w:hAnsi="Times New Roman" w:cs="Times New Roman"/>
          <w:b/>
          <w:bCs/>
          <w:lang w:val="es-BO"/>
        </w:rPr>
        <w:t>4</w:t>
      </w:r>
      <w:r w:rsidRPr="002E6F6D">
        <w:rPr>
          <w:rFonts w:ascii="Times New Roman" w:hAnsi="Times New Roman" w:cs="Times New Roman"/>
          <w:b/>
          <w:bCs/>
          <w:lang w:val="es-BO"/>
        </w:rPr>
        <w:t>. Diálogo de saberes, conocimiento tradicional y biodiversidad.</w:t>
      </w:r>
      <w:r w:rsidRPr="002E6F6D">
        <w:rPr>
          <w:rFonts w:ascii="Times New Roman" w:hAnsi="Times New Roman" w:cs="Times New Roman"/>
          <w:lang w:val="es-BO"/>
        </w:rPr>
        <w:t xml:space="preserve"> Este capítulo busca examinar los conceptos de biodiversidad y servicios ambientales desde las perspectivas de </w:t>
      </w:r>
      <w:r w:rsidR="00092A2D" w:rsidRPr="002E6F6D">
        <w:rPr>
          <w:rFonts w:ascii="Times New Roman" w:hAnsi="Times New Roman" w:cs="Times New Roman"/>
          <w:lang w:val="es-BO"/>
        </w:rPr>
        <w:t xml:space="preserve">los pueblos indígenas, comunidades locales y otras comunidades tribales de la Región Amazónica. </w:t>
      </w:r>
      <w:r w:rsidRPr="002E6F6D">
        <w:rPr>
          <w:rFonts w:ascii="Times New Roman" w:hAnsi="Times New Roman" w:cs="Times New Roman"/>
          <w:lang w:val="es-BO"/>
        </w:rPr>
        <w:t xml:space="preserve"> Como parte del análisis, se revisarán los sistemas de conocimiento indígena, campesino, </w:t>
      </w:r>
      <w:r w:rsidR="00092A2D" w:rsidRPr="002E6F6D">
        <w:rPr>
          <w:rFonts w:ascii="Times New Roman" w:hAnsi="Times New Roman" w:cs="Times New Roman"/>
          <w:lang w:val="es-BO"/>
        </w:rPr>
        <w:t xml:space="preserve">originario, </w:t>
      </w:r>
      <w:r w:rsidRPr="002E6F6D">
        <w:rPr>
          <w:rFonts w:ascii="Times New Roman" w:hAnsi="Times New Roman" w:cs="Times New Roman"/>
          <w:lang w:val="es-BO"/>
        </w:rPr>
        <w:t>afrodescendiente</w:t>
      </w:r>
      <w:r w:rsidR="00092A2D" w:rsidRPr="002E6F6D">
        <w:rPr>
          <w:rFonts w:ascii="Times New Roman" w:hAnsi="Times New Roman" w:cs="Times New Roman"/>
          <w:lang w:val="es-BO"/>
        </w:rPr>
        <w:t>,</w:t>
      </w:r>
      <w:r w:rsidRPr="002E6F6D">
        <w:rPr>
          <w:rFonts w:ascii="Times New Roman" w:hAnsi="Times New Roman" w:cs="Times New Roman"/>
          <w:lang w:val="es-BO"/>
        </w:rPr>
        <w:t xml:space="preserve"> y </w:t>
      </w:r>
      <w:r w:rsidR="00092A2D" w:rsidRPr="002E6F6D">
        <w:rPr>
          <w:rFonts w:ascii="Times New Roman" w:hAnsi="Times New Roman" w:cs="Times New Roman"/>
          <w:lang w:val="es-BO"/>
        </w:rPr>
        <w:t>otros</w:t>
      </w:r>
      <w:r w:rsidRPr="002E6F6D">
        <w:rPr>
          <w:rFonts w:ascii="Times New Roman" w:hAnsi="Times New Roman" w:cs="Times New Roman"/>
          <w:lang w:val="es-BO"/>
        </w:rPr>
        <w:t xml:space="preserve"> en </w:t>
      </w:r>
      <w:r w:rsidR="00092A2D" w:rsidRPr="002E6F6D">
        <w:rPr>
          <w:rFonts w:ascii="Times New Roman" w:hAnsi="Times New Roman" w:cs="Times New Roman"/>
          <w:lang w:val="es-BO"/>
        </w:rPr>
        <w:t>acciones vinculadas con la conservación y uso sostenible/sustentable de la diversidad biológica</w:t>
      </w:r>
      <w:r w:rsidR="00A654D6">
        <w:rPr>
          <w:rFonts w:ascii="Times New Roman" w:hAnsi="Times New Roman" w:cs="Times New Roman"/>
          <w:lang w:val="es-BO"/>
        </w:rPr>
        <w:t>, incluyendo la</w:t>
      </w:r>
      <w:r w:rsidR="009264CC">
        <w:rPr>
          <w:rFonts w:ascii="Times New Roman" w:hAnsi="Times New Roman" w:cs="Times New Roman"/>
          <w:lang w:val="es-BO"/>
        </w:rPr>
        <w:t xml:space="preserve"> participación justa y equitativa en los beneficios resultantes de la utilización de los recursos genéticos</w:t>
      </w:r>
      <w:r w:rsidR="00092A2D" w:rsidRPr="002E6F6D">
        <w:rPr>
          <w:rFonts w:ascii="Times New Roman" w:hAnsi="Times New Roman" w:cs="Times New Roman"/>
          <w:lang w:val="es-BO"/>
        </w:rPr>
        <w:t xml:space="preserve">. </w:t>
      </w:r>
      <w:r w:rsidR="009264CC">
        <w:rPr>
          <w:rFonts w:ascii="Times New Roman" w:hAnsi="Times New Roman" w:cs="Times New Roman"/>
          <w:lang w:val="es-BO"/>
        </w:rPr>
        <w:t xml:space="preserve">Se analizarán los aspectos organizativos comunitarios, toma de decisiones, y medidas de protección intelectual sobre los conocimientos tradicionales, entre otros, </w:t>
      </w:r>
      <w:r w:rsidR="00A654D6">
        <w:rPr>
          <w:rFonts w:ascii="Times New Roman" w:hAnsi="Times New Roman" w:cs="Times New Roman"/>
          <w:lang w:val="es-BO"/>
        </w:rPr>
        <w:t>con miras a</w:t>
      </w:r>
      <w:r w:rsidR="009264CC">
        <w:rPr>
          <w:rFonts w:ascii="Times New Roman" w:hAnsi="Times New Roman" w:cs="Times New Roman"/>
          <w:lang w:val="es-BO"/>
        </w:rPr>
        <w:t xml:space="preserve"> fortalecer la contribución de los pueblos indígenas, comunidades locales y otras comunidades tribales a la conservación y utilización sostenible/sustentable de los componentes de la diversidad biológica. </w:t>
      </w:r>
      <w:r w:rsidRPr="002E6F6D">
        <w:rPr>
          <w:rFonts w:ascii="Times New Roman" w:hAnsi="Times New Roman" w:cs="Times New Roman"/>
          <w:lang w:val="es-BO"/>
        </w:rPr>
        <w:t xml:space="preserve">De otro lado, se presentará una síntesis de las amenazas a los conocimientos a partir desde </w:t>
      </w:r>
      <w:r w:rsidR="00092A2D" w:rsidRPr="002E6F6D">
        <w:rPr>
          <w:rFonts w:ascii="Times New Roman" w:hAnsi="Times New Roman" w:cs="Times New Roman"/>
          <w:lang w:val="es-BO"/>
        </w:rPr>
        <w:t>una</w:t>
      </w:r>
      <w:r w:rsidRPr="002E6F6D">
        <w:rPr>
          <w:rFonts w:ascii="Times New Roman" w:hAnsi="Times New Roman" w:cs="Times New Roman"/>
          <w:lang w:val="es-BO"/>
        </w:rPr>
        <w:t xml:space="preserve"> perspectiva </w:t>
      </w:r>
      <w:r w:rsidR="00092A2D" w:rsidRPr="002E6F6D">
        <w:rPr>
          <w:rFonts w:ascii="Times New Roman" w:hAnsi="Times New Roman" w:cs="Times New Roman"/>
          <w:lang w:val="es-BO"/>
        </w:rPr>
        <w:t>de presiones múltiples ambientales, económicas y sociales. Se realizará una evaluación de l</w:t>
      </w:r>
      <w:r w:rsidRPr="002E6F6D">
        <w:rPr>
          <w:rFonts w:ascii="Times New Roman" w:hAnsi="Times New Roman" w:cs="Times New Roman"/>
          <w:lang w:val="es-BO"/>
        </w:rPr>
        <w:t xml:space="preserve">a experiencia y respuesta de los </w:t>
      </w:r>
      <w:r w:rsidR="00092A2D" w:rsidRPr="002E6F6D">
        <w:rPr>
          <w:rFonts w:ascii="Times New Roman" w:hAnsi="Times New Roman" w:cs="Times New Roman"/>
          <w:lang w:val="es-BO"/>
        </w:rPr>
        <w:t xml:space="preserve">pueblos indígenas, comunidades locales y otras comunidades tribales respecto a la gestión de la diversidad biológica y de los ecosistemas. </w:t>
      </w:r>
    </w:p>
    <w:p w14:paraId="535AAABA" w14:textId="77777777" w:rsidR="00092A2D" w:rsidRPr="002E6F6D" w:rsidRDefault="00092A2D" w:rsidP="00092A2D">
      <w:pPr>
        <w:pStyle w:val="PargrafodaLista"/>
        <w:rPr>
          <w:rFonts w:ascii="Times New Roman" w:hAnsi="Times New Roman" w:cs="Times New Roman"/>
          <w:lang w:val="es-BO"/>
        </w:rPr>
      </w:pPr>
    </w:p>
    <w:p w14:paraId="78702C3F" w14:textId="56EF4706" w:rsidR="00092A2D" w:rsidRPr="002E6F6D" w:rsidRDefault="00092A2D" w:rsidP="006948BD">
      <w:pPr>
        <w:pStyle w:val="PargrafodaLista"/>
        <w:numPr>
          <w:ilvl w:val="0"/>
          <w:numId w:val="6"/>
        </w:numPr>
        <w:tabs>
          <w:tab w:val="left" w:pos="567"/>
        </w:tabs>
        <w:spacing w:after="0" w:line="240" w:lineRule="auto"/>
        <w:ind w:left="0" w:firstLine="0"/>
        <w:jc w:val="both"/>
        <w:rPr>
          <w:rFonts w:ascii="Times New Roman" w:hAnsi="Times New Roman" w:cs="Times New Roman"/>
          <w:lang w:val="es-BO"/>
        </w:rPr>
      </w:pPr>
      <w:r w:rsidRPr="002E6F6D">
        <w:rPr>
          <w:rFonts w:ascii="Times New Roman" w:hAnsi="Times New Roman" w:cs="Times New Roman"/>
          <w:b/>
          <w:bCs/>
          <w:lang w:val="es-BO"/>
        </w:rPr>
        <w:t>Capítulo 5. Interacciones entre naturaleza y sociedad al presente y futuro: el camino para el desarrollo sostenible</w:t>
      </w:r>
      <w:r w:rsidRPr="002E6F6D">
        <w:rPr>
          <w:rFonts w:ascii="Times New Roman" w:hAnsi="Times New Roman" w:cs="Times New Roman"/>
          <w:lang w:val="es-BO"/>
        </w:rPr>
        <w:t xml:space="preserve">. Comprende un análisis sistemático e integral respecto al conjunto de los flujos </w:t>
      </w:r>
      <w:r w:rsidR="000767E5" w:rsidRPr="002E6F6D">
        <w:rPr>
          <w:rFonts w:ascii="Times New Roman" w:hAnsi="Times New Roman" w:cs="Times New Roman"/>
          <w:lang w:val="es-BO"/>
        </w:rPr>
        <w:t xml:space="preserve">e interacciones </w:t>
      </w:r>
      <w:r w:rsidRPr="002E6F6D">
        <w:rPr>
          <w:rFonts w:ascii="Times New Roman" w:hAnsi="Times New Roman" w:cs="Times New Roman"/>
          <w:lang w:val="es-BO"/>
        </w:rPr>
        <w:t>entre naturaleza y sociedad tomando como base el análisis de</w:t>
      </w:r>
      <w:r w:rsidR="000767E5" w:rsidRPr="002E6F6D">
        <w:rPr>
          <w:rFonts w:ascii="Times New Roman" w:hAnsi="Times New Roman" w:cs="Times New Roman"/>
          <w:lang w:val="es-BO"/>
        </w:rPr>
        <w:t xml:space="preserve"> </w:t>
      </w:r>
      <w:r w:rsidRPr="002E6F6D">
        <w:rPr>
          <w:rFonts w:ascii="Times New Roman" w:hAnsi="Times New Roman" w:cs="Times New Roman"/>
          <w:lang w:val="es-BO"/>
        </w:rPr>
        <w:t>l</w:t>
      </w:r>
      <w:r w:rsidR="000767E5" w:rsidRPr="002E6F6D">
        <w:rPr>
          <w:rFonts w:ascii="Times New Roman" w:hAnsi="Times New Roman" w:cs="Times New Roman"/>
          <w:lang w:val="es-BO"/>
        </w:rPr>
        <w:t>os</w:t>
      </w:r>
      <w:r w:rsidRPr="002E6F6D">
        <w:rPr>
          <w:rFonts w:ascii="Times New Roman" w:hAnsi="Times New Roman" w:cs="Times New Roman"/>
          <w:lang w:val="es-BO"/>
        </w:rPr>
        <w:t xml:space="preserve"> capítulo</w:t>
      </w:r>
      <w:r w:rsidR="000767E5" w:rsidRPr="002E6F6D">
        <w:rPr>
          <w:rFonts w:ascii="Times New Roman" w:hAnsi="Times New Roman" w:cs="Times New Roman"/>
          <w:lang w:val="es-BO"/>
        </w:rPr>
        <w:t>s</w:t>
      </w:r>
      <w:r w:rsidRPr="002E6F6D">
        <w:rPr>
          <w:rFonts w:ascii="Times New Roman" w:hAnsi="Times New Roman" w:cs="Times New Roman"/>
          <w:lang w:val="es-BO"/>
        </w:rPr>
        <w:t xml:space="preserve"> anterior</w:t>
      </w:r>
      <w:r w:rsidR="000767E5" w:rsidRPr="002E6F6D">
        <w:rPr>
          <w:rFonts w:ascii="Times New Roman" w:hAnsi="Times New Roman" w:cs="Times New Roman"/>
          <w:lang w:val="es-BO"/>
        </w:rPr>
        <w:t>es, haciendo uso de modelamiento y escenarios desarrollados para la Región Amazónica</w:t>
      </w:r>
      <w:r w:rsidRPr="002E6F6D">
        <w:rPr>
          <w:rFonts w:ascii="Times New Roman" w:hAnsi="Times New Roman" w:cs="Times New Roman"/>
          <w:lang w:val="es-BO"/>
        </w:rPr>
        <w:t xml:space="preserve">. </w:t>
      </w:r>
      <w:r w:rsidR="000767E5" w:rsidRPr="002E6F6D">
        <w:rPr>
          <w:rFonts w:ascii="Times New Roman" w:hAnsi="Times New Roman" w:cs="Times New Roman"/>
          <w:lang w:val="es-BO"/>
        </w:rPr>
        <w:t>En particular, examina las tendencias futuras de la biodiversidad y los impulsores y cuál el significado de dichas tendencias en el escenario habitual y en el marco de un cambio transformador hacia el desarrollo</w:t>
      </w:r>
      <w:r w:rsidRPr="002E6F6D">
        <w:rPr>
          <w:rFonts w:ascii="Times New Roman" w:hAnsi="Times New Roman" w:cs="Times New Roman"/>
          <w:lang w:val="es-BO"/>
        </w:rPr>
        <w:t xml:space="preserve"> sostenible/sustentable y armónico </w:t>
      </w:r>
      <w:r w:rsidR="000767E5" w:rsidRPr="002E6F6D">
        <w:rPr>
          <w:rFonts w:ascii="Times New Roman" w:hAnsi="Times New Roman" w:cs="Times New Roman"/>
          <w:lang w:val="es-BO"/>
        </w:rPr>
        <w:t xml:space="preserve">de la Región Amazónica. </w:t>
      </w:r>
      <w:r w:rsidRPr="002E6F6D">
        <w:rPr>
          <w:rFonts w:ascii="Times New Roman" w:hAnsi="Times New Roman" w:cs="Times New Roman"/>
          <w:lang w:val="es-BO"/>
        </w:rPr>
        <w:t>Se incluirán análisis integrados en diversas escalas, y diferentes vías para alcanzar el desarrollo sostenible/sustentable</w:t>
      </w:r>
      <w:r w:rsidR="00E50139" w:rsidRPr="002E6F6D">
        <w:rPr>
          <w:rFonts w:ascii="Times New Roman" w:hAnsi="Times New Roman" w:cs="Times New Roman"/>
          <w:lang w:val="es-BO"/>
        </w:rPr>
        <w:t>, identificando las trayectorias de diferentes impulsores indirectos.</w:t>
      </w:r>
    </w:p>
    <w:p w14:paraId="78398A12" w14:textId="77777777" w:rsidR="000767E5" w:rsidRPr="002E6F6D" w:rsidRDefault="000767E5" w:rsidP="000767E5">
      <w:pPr>
        <w:pStyle w:val="PargrafodaLista"/>
        <w:rPr>
          <w:rFonts w:ascii="Times New Roman" w:hAnsi="Times New Roman" w:cs="Times New Roman"/>
          <w:lang w:val="es-BO"/>
        </w:rPr>
      </w:pPr>
    </w:p>
    <w:p w14:paraId="4B3D7DF8" w14:textId="4262129F" w:rsidR="00236B59" w:rsidRPr="002E6F6D" w:rsidRDefault="008E3C59" w:rsidP="006948BD">
      <w:pPr>
        <w:pStyle w:val="PargrafodaLista"/>
        <w:numPr>
          <w:ilvl w:val="0"/>
          <w:numId w:val="6"/>
        </w:numPr>
        <w:tabs>
          <w:tab w:val="left" w:pos="567"/>
        </w:tabs>
        <w:spacing w:after="0" w:line="240" w:lineRule="auto"/>
        <w:ind w:left="0" w:firstLine="0"/>
        <w:jc w:val="both"/>
        <w:rPr>
          <w:rFonts w:ascii="Times New Roman" w:hAnsi="Times New Roman" w:cs="Times New Roman"/>
          <w:lang w:val="es-BO"/>
        </w:rPr>
      </w:pPr>
      <w:r w:rsidRPr="002E6F6D">
        <w:rPr>
          <w:rFonts w:ascii="Times New Roman" w:hAnsi="Times New Roman" w:cs="Times New Roman"/>
          <w:b/>
          <w:bCs/>
          <w:lang w:val="es-BO"/>
        </w:rPr>
        <w:t xml:space="preserve">Capítulo </w:t>
      </w:r>
      <w:r w:rsidR="00E50139" w:rsidRPr="002E6F6D">
        <w:rPr>
          <w:rFonts w:ascii="Times New Roman" w:hAnsi="Times New Roman" w:cs="Times New Roman"/>
          <w:b/>
          <w:bCs/>
          <w:lang w:val="es-BO"/>
        </w:rPr>
        <w:t>6</w:t>
      </w:r>
      <w:r w:rsidRPr="002E6F6D">
        <w:rPr>
          <w:rFonts w:ascii="Times New Roman" w:hAnsi="Times New Roman" w:cs="Times New Roman"/>
          <w:b/>
          <w:bCs/>
          <w:lang w:val="es-BO"/>
        </w:rPr>
        <w:t>. Políticas, instituciones y gobernanza</w:t>
      </w:r>
      <w:r w:rsidR="0032566D" w:rsidRPr="002E6F6D">
        <w:rPr>
          <w:rFonts w:ascii="Times New Roman" w:hAnsi="Times New Roman" w:cs="Times New Roman"/>
          <w:b/>
          <w:bCs/>
          <w:lang w:val="es-BO"/>
        </w:rPr>
        <w:t xml:space="preserve"> en diferentes escalas y sectores</w:t>
      </w:r>
      <w:r w:rsidRPr="002E6F6D">
        <w:rPr>
          <w:rFonts w:ascii="Times New Roman" w:hAnsi="Times New Roman" w:cs="Times New Roman"/>
          <w:b/>
          <w:bCs/>
          <w:lang w:val="es-BO"/>
        </w:rPr>
        <w:t xml:space="preserve">. </w:t>
      </w:r>
      <w:r w:rsidRPr="002E6F6D">
        <w:rPr>
          <w:rFonts w:ascii="Times New Roman" w:hAnsi="Times New Roman" w:cs="Times New Roman"/>
          <w:lang w:val="es-BO"/>
        </w:rPr>
        <w:t xml:space="preserve">Este capítulo tiene como objetivo analizar de qué manera las políticas, normativas e iniciativas han venido interactuando y mediando las relaciones entre la biodiversidad y las contribuciones de la naturaleza a la sociedad </w:t>
      </w:r>
      <w:r w:rsidR="0032566D" w:rsidRPr="002E6F6D">
        <w:rPr>
          <w:rFonts w:ascii="Times New Roman" w:hAnsi="Times New Roman" w:cs="Times New Roman"/>
          <w:lang w:val="es-BO"/>
        </w:rPr>
        <w:t xml:space="preserve">en la Región Amazónica. Se presentarán diferentes opciones </w:t>
      </w:r>
      <w:r w:rsidR="00352FC1" w:rsidRPr="002E6F6D">
        <w:rPr>
          <w:rFonts w:ascii="Times New Roman" w:hAnsi="Times New Roman" w:cs="Times New Roman"/>
          <w:lang w:val="es-BO"/>
        </w:rPr>
        <w:t xml:space="preserve">y herramientas </w:t>
      </w:r>
      <w:r w:rsidR="0032566D" w:rsidRPr="002E6F6D">
        <w:rPr>
          <w:rFonts w:ascii="Times New Roman" w:hAnsi="Times New Roman" w:cs="Times New Roman"/>
          <w:lang w:val="es-BO"/>
        </w:rPr>
        <w:t xml:space="preserve">de políticas para los responsables </w:t>
      </w:r>
      <w:r w:rsidR="007D45CF" w:rsidRPr="002E6F6D">
        <w:rPr>
          <w:rFonts w:ascii="Times New Roman" w:hAnsi="Times New Roman" w:cs="Times New Roman"/>
          <w:lang w:val="es-BO"/>
        </w:rPr>
        <w:t xml:space="preserve">de </w:t>
      </w:r>
      <w:r w:rsidR="0032566D" w:rsidRPr="002E6F6D">
        <w:rPr>
          <w:rFonts w:ascii="Times New Roman" w:hAnsi="Times New Roman" w:cs="Times New Roman"/>
          <w:lang w:val="es-BO"/>
        </w:rPr>
        <w:t xml:space="preserve">adoptar decisiones a nivel regional, nacional y subnacional, en respuesta a lo planteado en el capítulo anterior sobre el horizonte de desarrollo sostenible/sustentable para la Región Amazónica. </w:t>
      </w:r>
      <w:r w:rsidR="009264CC">
        <w:rPr>
          <w:rFonts w:ascii="Times New Roman" w:hAnsi="Times New Roman" w:cs="Times New Roman"/>
          <w:lang w:val="es-BO"/>
        </w:rPr>
        <w:t xml:space="preserve">Se tomará en cuenta su aporte al cumplimiento de los objetivos del CDB y a las orientaciones del Marco Mundial de Diversidad Biológica posterior a 2020. </w:t>
      </w:r>
      <w:r w:rsidR="0032566D" w:rsidRPr="002E6F6D">
        <w:rPr>
          <w:rFonts w:ascii="Times New Roman" w:hAnsi="Times New Roman" w:cs="Times New Roman"/>
          <w:lang w:val="es-BO"/>
        </w:rPr>
        <w:t xml:space="preserve"> </w:t>
      </w:r>
      <w:r w:rsidR="00CF44AC">
        <w:rPr>
          <w:rFonts w:ascii="Times New Roman" w:hAnsi="Times New Roman" w:cs="Times New Roman"/>
          <w:lang w:val="es-BO"/>
        </w:rPr>
        <w:t>Entre las principales políticas a ser analizadas se tendrán</w:t>
      </w:r>
      <w:r w:rsidR="009264CC">
        <w:rPr>
          <w:rFonts w:ascii="Times New Roman" w:hAnsi="Times New Roman" w:cs="Times New Roman"/>
          <w:lang w:val="es-BO"/>
        </w:rPr>
        <w:t xml:space="preserve"> en cuenta</w:t>
      </w:r>
      <w:r w:rsidR="00CF44AC">
        <w:rPr>
          <w:rFonts w:ascii="Times New Roman" w:hAnsi="Times New Roman" w:cs="Times New Roman"/>
          <w:lang w:val="es-BO"/>
        </w:rPr>
        <w:t xml:space="preserve"> la regularización de las tierras, el pago por servicios ambientales, zonificación económica y ecológica, así como </w:t>
      </w:r>
      <w:r w:rsidR="009264CC">
        <w:rPr>
          <w:rFonts w:ascii="Times New Roman" w:hAnsi="Times New Roman" w:cs="Times New Roman"/>
          <w:lang w:val="es-BO"/>
        </w:rPr>
        <w:t xml:space="preserve">medidas </w:t>
      </w:r>
      <w:r w:rsidR="00CF44AC">
        <w:rPr>
          <w:rFonts w:ascii="Times New Roman" w:hAnsi="Times New Roman" w:cs="Times New Roman"/>
          <w:lang w:val="es-BO"/>
        </w:rPr>
        <w:t xml:space="preserve">de inspección, comando y control. </w:t>
      </w:r>
      <w:r w:rsidR="0032566D" w:rsidRPr="002E6F6D">
        <w:rPr>
          <w:rFonts w:ascii="Times New Roman" w:hAnsi="Times New Roman" w:cs="Times New Roman"/>
          <w:lang w:val="es-BO"/>
        </w:rPr>
        <w:t>También se determinarán los entornos propicios y limitaciones respecto a la adopción de las políticas, la experiencia adquirida en la región y en particular las soluciones y métodos existentes para asegurar el éxito.</w:t>
      </w:r>
    </w:p>
    <w:p w14:paraId="1116727B" w14:textId="77777777" w:rsidR="00236B59" w:rsidRPr="002E6F6D" w:rsidRDefault="00236B59" w:rsidP="00236B59">
      <w:pPr>
        <w:pStyle w:val="PargrafodaLista"/>
        <w:rPr>
          <w:rFonts w:ascii="Times New Roman" w:hAnsi="Times New Roman" w:cs="Times New Roman"/>
          <w:lang w:val="es-BO"/>
        </w:rPr>
      </w:pPr>
    </w:p>
    <w:p w14:paraId="264E590D" w14:textId="7D2CDF66" w:rsidR="008E3C59" w:rsidRPr="002E6F6D" w:rsidRDefault="008E3C59" w:rsidP="006948BD">
      <w:pPr>
        <w:pStyle w:val="PargrafodaLista"/>
        <w:numPr>
          <w:ilvl w:val="0"/>
          <w:numId w:val="6"/>
        </w:numPr>
        <w:tabs>
          <w:tab w:val="left" w:pos="567"/>
        </w:tabs>
        <w:spacing w:after="0" w:line="240" w:lineRule="auto"/>
        <w:ind w:left="0" w:firstLine="0"/>
        <w:jc w:val="both"/>
        <w:rPr>
          <w:rFonts w:ascii="Times New Roman" w:hAnsi="Times New Roman" w:cs="Times New Roman"/>
          <w:lang w:val="es-BO"/>
        </w:rPr>
      </w:pPr>
      <w:r w:rsidRPr="002E6F6D">
        <w:rPr>
          <w:rFonts w:ascii="Times New Roman" w:hAnsi="Times New Roman" w:cs="Times New Roman"/>
          <w:b/>
          <w:bCs/>
          <w:lang w:val="es-BO"/>
        </w:rPr>
        <w:t xml:space="preserve">Capítulo </w:t>
      </w:r>
      <w:r w:rsidR="007D45CF" w:rsidRPr="002E6F6D">
        <w:rPr>
          <w:rFonts w:ascii="Times New Roman" w:hAnsi="Times New Roman" w:cs="Times New Roman"/>
          <w:b/>
          <w:bCs/>
          <w:lang w:val="es-BO"/>
        </w:rPr>
        <w:t>7</w:t>
      </w:r>
      <w:r w:rsidRPr="002E6F6D">
        <w:rPr>
          <w:rFonts w:ascii="Times New Roman" w:hAnsi="Times New Roman" w:cs="Times New Roman"/>
          <w:b/>
          <w:bCs/>
          <w:lang w:val="es-BO"/>
        </w:rPr>
        <w:t xml:space="preserve">. </w:t>
      </w:r>
      <w:r w:rsidR="00352FC1" w:rsidRPr="002E6F6D">
        <w:rPr>
          <w:rFonts w:ascii="Times New Roman" w:hAnsi="Times New Roman" w:cs="Times New Roman"/>
          <w:b/>
          <w:bCs/>
          <w:lang w:val="es-BO"/>
        </w:rPr>
        <w:t>Conclusiones y r</w:t>
      </w:r>
      <w:r w:rsidRPr="002E6F6D">
        <w:rPr>
          <w:rFonts w:ascii="Times New Roman" w:hAnsi="Times New Roman" w:cs="Times New Roman"/>
          <w:b/>
          <w:bCs/>
          <w:lang w:val="es-BO"/>
        </w:rPr>
        <w:t>ecomendaciones.</w:t>
      </w:r>
      <w:r w:rsidRPr="002E6F6D">
        <w:rPr>
          <w:rFonts w:ascii="Times New Roman" w:hAnsi="Times New Roman" w:cs="Times New Roman"/>
          <w:lang w:val="es-BO"/>
        </w:rPr>
        <w:t xml:space="preserve"> A partir de lo presentado en los anteriores capítulos, y en especial atención a los escenarios analizados en el capítulo </w:t>
      </w:r>
      <w:r w:rsidR="007D45CF" w:rsidRPr="002E6F6D">
        <w:rPr>
          <w:rFonts w:ascii="Times New Roman" w:hAnsi="Times New Roman" w:cs="Times New Roman"/>
          <w:lang w:val="es-BO"/>
        </w:rPr>
        <w:t xml:space="preserve">anterior, </w:t>
      </w:r>
      <w:r w:rsidRPr="002E6F6D">
        <w:rPr>
          <w:rFonts w:ascii="Times New Roman" w:hAnsi="Times New Roman" w:cs="Times New Roman"/>
          <w:lang w:val="es-BO"/>
        </w:rPr>
        <w:t>se presentarán en este capítulo las principales conclusiones y recomendaciones para la gestión integrada de la biodiversidad y</w:t>
      </w:r>
      <w:r w:rsidR="007D45CF" w:rsidRPr="002E6F6D">
        <w:rPr>
          <w:rFonts w:ascii="Times New Roman" w:hAnsi="Times New Roman" w:cs="Times New Roman"/>
          <w:lang w:val="es-BO"/>
        </w:rPr>
        <w:t xml:space="preserve"> de sus</w:t>
      </w:r>
      <w:r w:rsidRPr="002E6F6D">
        <w:rPr>
          <w:rFonts w:ascii="Times New Roman" w:hAnsi="Times New Roman" w:cs="Times New Roman"/>
          <w:lang w:val="es-BO"/>
        </w:rPr>
        <w:t xml:space="preserve"> servicios ecosistémicos, como aporte a tomadores de decisiones</w:t>
      </w:r>
      <w:r w:rsidR="007D45CF" w:rsidRPr="002E6F6D">
        <w:rPr>
          <w:rFonts w:ascii="Times New Roman" w:hAnsi="Times New Roman" w:cs="Times New Roman"/>
          <w:lang w:val="es-BO"/>
        </w:rPr>
        <w:t>, con un enfoque de gestión regional</w:t>
      </w:r>
      <w:r w:rsidRPr="002E6F6D">
        <w:rPr>
          <w:rFonts w:ascii="Times New Roman" w:hAnsi="Times New Roman" w:cs="Times New Roman"/>
          <w:lang w:val="es-BO"/>
        </w:rPr>
        <w:t xml:space="preserve">. </w:t>
      </w:r>
      <w:r w:rsidR="007D45CF" w:rsidRPr="002E6F6D">
        <w:rPr>
          <w:rFonts w:ascii="Times New Roman" w:hAnsi="Times New Roman" w:cs="Times New Roman"/>
          <w:lang w:val="es-BO"/>
        </w:rPr>
        <w:t xml:space="preserve">Se </w:t>
      </w:r>
      <w:r w:rsidRPr="002E6F6D">
        <w:rPr>
          <w:rFonts w:ascii="Times New Roman" w:hAnsi="Times New Roman" w:cs="Times New Roman"/>
          <w:lang w:val="es-BO"/>
        </w:rPr>
        <w:t xml:space="preserve">lanzarán </w:t>
      </w:r>
      <w:r w:rsidR="007D45CF" w:rsidRPr="002E6F6D">
        <w:rPr>
          <w:rFonts w:ascii="Times New Roman" w:hAnsi="Times New Roman" w:cs="Times New Roman"/>
          <w:lang w:val="es-BO"/>
        </w:rPr>
        <w:t>mensajes claves y cortos q</w:t>
      </w:r>
      <w:r w:rsidRPr="002E6F6D">
        <w:rPr>
          <w:rFonts w:ascii="Times New Roman" w:hAnsi="Times New Roman" w:cs="Times New Roman"/>
          <w:lang w:val="es-BO"/>
        </w:rPr>
        <w:t xml:space="preserve">ue sirvan </w:t>
      </w:r>
      <w:r w:rsidRPr="002E6F6D">
        <w:rPr>
          <w:rFonts w:ascii="Times New Roman" w:hAnsi="Times New Roman" w:cs="Times New Roman"/>
          <w:lang w:val="es-BO"/>
        </w:rPr>
        <w:lastRenderedPageBreak/>
        <w:t>para la toma de decisione</w:t>
      </w:r>
      <w:r w:rsidR="007D45CF" w:rsidRPr="002E6F6D">
        <w:rPr>
          <w:rFonts w:ascii="Times New Roman" w:hAnsi="Times New Roman" w:cs="Times New Roman"/>
          <w:lang w:val="es-BO"/>
        </w:rPr>
        <w:t xml:space="preserve">s. </w:t>
      </w:r>
      <w:r w:rsidR="004F7A42" w:rsidRPr="002E6F6D">
        <w:rPr>
          <w:rFonts w:ascii="Times New Roman" w:hAnsi="Times New Roman" w:cs="Times New Roman"/>
          <w:lang w:val="es-BO"/>
        </w:rPr>
        <w:t>Finalmente, se identificarán las l</w:t>
      </w:r>
      <w:r w:rsidR="00352FC1" w:rsidRPr="002E6F6D">
        <w:rPr>
          <w:rFonts w:ascii="Times New Roman" w:hAnsi="Times New Roman" w:cs="Times New Roman"/>
          <w:lang w:val="es-BO"/>
        </w:rPr>
        <w:t>agunas de información</w:t>
      </w:r>
      <w:r w:rsidR="004F7A42" w:rsidRPr="002E6F6D">
        <w:rPr>
          <w:rFonts w:ascii="Times New Roman" w:hAnsi="Times New Roman" w:cs="Times New Roman"/>
          <w:lang w:val="es-BO"/>
        </w:rPr>
        <w:t xml:space="preserve"> identificadas en la evaluación</w:t>
      </w:r>
      <w:r w:rsidR="00352FC1" w:rsidRPr="002E6F6D">
        <w:rPr>
          <w:rFonts w:ascii="Times New Roman" w:hAnsi="Times New Roman" w:cs="Times New Roman"/>
          <w:lang w:val="es-BO"/>
        </w:rPr>
        <w:t>.</w:t>
      </w:r>
    </w:p>
    <w:p w14:paraId="730B3AF6" w14:textId="77777777" w:rsidR="004046B3" w:rsidRPr="002E6F6D" w:rsidRDefault="004046B3" w:rsidP="004046B3">
      <w:pPr>
        <w:pStyle w:val="PargrafodaLista"/>
        <w:rPr>
          <w:rFonts w:ascii="Times New Roman" w:hAnsi="Times New Roman" w:cs="Times New Roman"/>
          <w:lang w:val="es-BO"/>
        </w:rPr>
      </w:pPr>
    </w:p>
    <w:p w14:paraId="64392F62" w14:textId="2635AD82" w:rsidR="00F71639" w:rsidRPr="002E6F6D" w:rsidRDefault="00A77645" w:rsidP="004256AA">
      <w:pPr>
        <w:pStyle w:val="PargrafodaLista"/>
        <w:numPr>
          <w:ilvl w:val="0"/>
          <w:numId w:val="1"/>
        </w:numPr>
        <w:spacing w:after="0" w:line="240" w:lineRule="auto"/>
        <w:ind w:left="426" w:hanging="426"/>
        <w:rPr>
          <w:rFonts w:ascii="Times New Roman" w:hAnsi="Times New Roman" w:cs="Times New Roman"/>
          <w:b/>
          <w:bCs/>
          <w:lang w:val="es-BO"/>
        </w:rPr>
      </w:pPr>
      <w:r w:rsidRPr="002E6F6D">
        <w:rPr>
          <w:rFonts w:ascii="Times New Roman" w:hAnsi="Times New Roman" w:cs="Times New Roman"/>
          <w:b/>
          <w:bCs/>
          <w:lang w:val="es-BO"/>
        </w:rPr>
        <w:t xml:space="preserve">Proceso y </w:t>
      </w:r>
      <w:r w:rsidR="009A11A7" w:rsidRPr="002E6F6D">
        <w:rPr>
          <w:rFonts w:ascii="Times New Roman" w:hAnsi="Times New Roman" w:cs="Times New Roman"/>
          <w:b/>
          <w:bCs/>
          <w:lang w:val="es-BO"/>
        </w:rPr>
        <w:t>calendario de trabajo</w:t>
      </w:r>
    </w:p>
    <w:p w14:paraId="1191E921" w14:textId="3E207208" w:rsidR="008E3C59" w:rsidRPr="002E6F6D" w:rsidRDefault="008E3C59" w:rsidP="00236B59">
      <w:pPr>
        <w:rPr>
          <w:b/>
          <w:bCs/>
          <w:lang w:val="es-BO"/>
        </w:rPr>
      </w:pPr>
    </w:p>
    <w:p w14:paraId="2D418439" w14:textId="07C61A00" w:rsidR="009A11A7" w:rsidRPr="002E6F6D" w:rsidRDefault="009A11A7" w:rsidP="006948BD">
      <w:pPr>
        <w:pStyle w:val="PargrafodaLista"/>
        <w:numPr>
          <w:ilvl w:val="0"/>
          <w:numId w:val="6"/>
        </w:numPr>
        <w:tabs>
          <w:tab w:val="left" w:pos="567"/>
        </w:tabs>
        <w:ind w:left="0" w:firstLine="0"/>
        <w:rPr>
          <w:rFonts w:ascii="Times New Roman" w:hAnsi="Times New Roman" w:cs="Times New Roman"/>
          <w:lang w:val="es-BO"/>
        </w:rPr>
      </w:pPr>
      <w:r w:rsidRPr="002E6F6D">
        <w:rPr>
          <w:rFonts w:ascii="Times New Roman" w:hAnsi="Times New Roman" w:cs="Times New Roman"/>
          <w:lang w:val="es-BO"/>
        </w:rPr>
        <w:t>En el cuadro que figura a continuación se propone un proceso y un calendario de trabajo para llevar a cabo la evaluación.</w:t>
      </w:r>
    </w:p>
    <w:tbl>
      <w:tblPr>
        <w:tblStyle w:val="Tabelacomgrade"/>
        <w:tblW w:w="0" w:type="auto"/>
        <w:tblLayout w:type="fixed"/>
        <w:tblLook w:val="04A0" w:firstRow="1" w:lastRow="0" w:firstColumn="1" w:lastColumn="0" w:noHBand="0" w:noVBand="1"/>
      </w:tblPr>
      <w:tblGrid>
        <w:gridCol w:w="867"/>
        <w:gridCol w:w="1396"/>
        <w:gridCol w:w="6231"/>
      </w:tblGrid>
      <w:tr w:rsidR="005F0C6E" w:rsidRPr="002E6F6D" w14:paraId="1463259B" w14:textId="77777777" w:rsidTr="00564489">
        <w:trPr>
          <w:tblHeader/>
        </w:trPr>
        <w:tc>
          <w:tcPr>
            <w:tcW w:w="867" w:type="dxa"/>
            <w:vAlign w:val="center"/>
          </w:tcPr>
          <w:p w14:paraId="23E00520" w14:textId="30D48ABE" w:rsidR="00F71639" w:rsidRPr="002E6F6D" w:rsidRDefault="00D62346" w:rsidP="004256AA">
            <w:pPr>
              <w:jc w:val="center"/>
              <w:rPr>
                <w:b/>
                <w:bCs/>
                <w:sz w:val="22"/>
                <w:szCs w:val="22"/>
                <w:lang w:val="es-BO"/>
              </w:rPr>
            </w:pPr>
            <w:r w:rsidRPr="002E6F6D">
              <w:rPr>
                <w:b/>
                <w:bCs/>
                <w:sz w:val="22"/>
                <w:szCs w:val="22"/>
                <w:lang w:val="es-BO"/>
              </w:rPr>
              <w:t>AÑO</w:t>
            </w:r>
          </w:p>
        </w:tc>
        <w:tc>
          <w:tcPr>
            <w:tcW w:w="1396" w:type="dxa"/>
            <w:vAlign w:val="center"/>
          </w:tcPr>
          <w:p w14:paraId="643153FF" w14:textId="7F113E79" w:rsidR="00F71639" w:rsidRPr="002E6F6D" w:rsidRDefault="00F71639" w:rsidP="004256AA">
            <w:pPr>
              <w:jc w:val="center"/>
              <w:rPr>
                <w:b/>
                <w:bCs/>
                <w:sz w:val="22"/>
                <w:szCs w:val="22"/>
                <w:lang w:val="es-BO"/>
              </w:rPr>
            </w:pPr>
            <w:r w:rsidRPr="002E6F6D">
              <w:rPr>
                <w:b/>
                <w:bCs/>
                <w:sz w:val="22"/>
                <w:szCs w:val="22"/>
                <w:lang w:val="es-BO"/>
              </w:rPr>
              <w:t>CUATRI</w:t>
            </w:r>
            <w:r w:rsidR="00D62346" w:rsidRPr="002E6F6D">
              <w:rPr>
                <w:b/>
                <w:bCs/>
                <w:sz w:val="22"/>
                <w:szCs w:val="22"/>
                <w:lang w:val="es-BO"/>
              </w:rPr>
              <w:t>-</w:t>
            </w:r>
            <w:r w:rsidRPr="002E6F6D">
              <w:rPr>
                <w:b/>
                <w:bCs/>
                <w:sz w:val="22"/>
                <w:szCs w:val="22"/>
                <w:lang w:val="es-BO"/>
              </w:rPr>
              <w:t>MESTRE</w:t>
            </w:r>
          </w:p>
        </w:tc>
        <w:tc>
          <w:tcPr>
            <w:tcW w:w="6231" w:type="dxa"/>
            <w:vAlign w:val="center"/>
          </w:tcPr>
          <w:p w14:paraId="53704064" w14:textId="5AB4ADEE" w:rsidR="00F71639" w:rsidRPr="002E6F6D" w:rsidRDefault="00D62346" w:rsidP="004256AA">
            <w:pPr>
              <w:jc w:val="center"/>
              <w:rPr>
                <w:b/>
                <w:bCs/>
                <w:sz w:val="22"/>
                <w:szCs w:val="22"/>
                <w:lang w:val="es-BO"/>
              </w:rPr>
            </w:pPr>
            <w:r w:rsidRPr="002E6F6D">
              <w:rPr>
                <w:b/>
                <w:bCs/>
                <w:sz w:val="22"/>
                <w:szCs w:val="22"/>
                <w:lang w:val="es-BO"/>
              </w:rPr>
              <w:t>PROCESO Y CRONOGRAMA</w:t>
            </w:r>
          </w:p>
        </w:tc>
      </w:tr>
      <w:tr w:rsidR="00813AF1" w:rsidRPr="002E6F6D" w14:paraId="25B4B1E4" w14:textId="77777777" w:rsidTr="00D62346">
        <w:tc>
          <w:tcPr>
            <w:tcW w:w="867" w:type="dxa"/>
            <w:vMerge w:val="restart"/>
            <w:vAlign w:val="center"/>
          </w:tcPr>
          <w:p w14:paraId="1B330F3F" w14:textId="373D538C" w:rsidR="00813AF1" w:rsidRPr="002E6F6D" w:rsidRDefault="00813AF1" w:rsidP="004256AA">
            <w:pPr>
              <w:rPr>
                <w:sz w:val="22"/>
                <w:szCs w:val="22"/>
                <w:lang w:val="es-BO"/>
              </w:rPr>
            </w:pPr>
            <w:r w:rsidRPr="002E6F6D">
              <w:rPr>
                <w:sz w:val="22"/>
                <w:szCs w:val="22"/>
                <w:lang w:val="es-BO"/>
              </w:rPr>
              <w:t>2020</w:t>
            </w:r>
          </w:p>
        </w:tc>
        <w:tc>
          <w:tcPr>
            <w:tcW w:w="1396" w:type="dxa"/>
            <w:vMerge w:val="restart"/>
            <w:vAlign w:val="center"/>
          </w:tcPr>
          <w:p w14:paraId="10DCAEAB" w14:textId="39CE74CA" w:rsidR="00813AF1" w:rsidRPr="002E6F6D" w:rsidRDefault="00813AF1" w:rsidP="004256AA">
            <w:pPr>
              <w:rPr>
                <w:sz w:val="22"/>
                <w:szCs w:val="22"/>
                <w:lang w:val="es-BO"/>
              </w:rPr>
            </w:pPr>
            <w:r>
              <w:rPr>
                <w:sz w:val="22"/>
                <w:szCs w:val="22"/>
                <w:lang w:val="es-BO"/>
              </w:rPr>
              <w:t>Cuarto</w:t>
            </w:r>
          </w:p>
        </w:tc>
        <w:tc>
          <w:tcPr>
            <w:tcW w:w="6231" w:type="dxa"/>
          </w:tcPr>
          <w:p w14:paraId="7D25943C" w14:textId="38C96DE4" w:rsidR="00813AF1" w:rsidRPr="002E6F6D" w:rsidRDefault="00813AF1" w:rsidP="004256AA">
            <w:pPr>
              <w:rPr>
                <w:sz w:val="22"/>
                <w:szCs w:val="22"/>
                <w:lang w:val="es-BO"/>
              </w:rPr>
            </w:pPr>
            <w:r w:rsidRPr="002E6F6D">
              <w:rPr>
                <w:sz w:val="22"/>
                <w:szCs w:val="22"/>
                <w:lang w:val="es-BO"/>
              </w:rPr>
              <w:t>Presentación y aprobación del proceso por parte de los PM (</w:t>
            </w:r>
            <w:r>
              <w:rPr>
                <w:sz w:val="22"/>
                <w:szCs w:val="22"/>
                <w:lang w:val="es-BO"/>
              </w:rPr>
              <w:t>Hasta fines de noviembre</w:t>
            </w:r>
            <w:r w:rsidRPr="002E6F6D">
              <w:rPr>
                <w:sz w:val="22"/>
                <w:szCs w:val="22"/>
                <w:lang w:val="es-BO"/>
              </w:rPr>
              <w:t>)</w:t>
            </w:r>
          </w:p>
        </w:tc>
      </w:tr>
      <w:tr w:rsidR="00813AF1" w:rsidRPr="002E6F6D" w14:paraId="34665842" w14:textId="77777777" w:rsidTr="00D62346">
        <w:tc>
          <w:tcPr>
            <w:tcW w:w="867" w:type="dxa"/>
            <w:vMerge/>
            <w:vAlign w:val="center"/>
          </w:tcPr>
          <w:p w14:paraId="58CC59EE" w14:textId="6876F90D" w:rsidR="00813AF1" w:rsidRPr="002E6F6D" w:rsidRDefault="00813AF1" w:rsidP="004256AA">
            <w:pPr>
              <w:rPr>
                <w:sz w:val="22"/>
                <w:szCs w:val="22"/>
                <w:lang w:val="es-BO"/>
              </w:rPr>
            </w:pPr>
          </w:p>
        </w:tc>
        <w:tc>
          <w:tcPr>
            <w:tcW w:w="1396" w:type="dxa"/>
            <w:vMerge/>
            <w:vAlign w:val="center"/>
          </w:tcPr>
          <w:p w14:paraId="32A2DF85" w14:textId="0D4C956F" w:rsidR="00813AF1" w:rsidRPr="002E6F6D" w:rsidRDefault="00813AF1" w:rsidP="004256AA">
            <w:pPr>
              <w:rPr>
                <w:sz w:val="22"/>
                <w:szCs w:val="22"/>
                <w:lang w:val="es-BO"/>
              </w:rPr>
            </w:pPr>
          </w:p>
        </w:tc>
        <w:tc>
          <w:tcPr>
            <w:tcW w:w="6231" w:type="dxa"/>
          </w:tcPr>
          <w:p w14:paraId="2D65C5E9" w14:textId="2E3DA897" w:rsidR="00813AF1" w:rsidRPr="002E6F6D" w:rsidRDefault="00813AF1" w:rsidP="004256AA">
            <w:pPr>
              <w:rPr>
                <w:sz w:val="22"/>
                <w:szCs w:val="22"/>
                <w:lang w:val="es-BO"/>
              </w:rPr>
            </w:pPr>
            <w:r w:rsidRPr="002E6F6D">
              <w:rPr>
                <w:sz w:val="22"/>
                <w:szCs w:val="22"/>
                <w:lang w:val="es-BO"/>
              </w:rPr>
              <w:t>Constitución del Comité Científico del informe, con participación de académicos destacados de los PM (designación vía PM y por SP/OTCA) (</w:t>
            </w:r>
            <w:r>
              <w:rPr>
                <w:sz w:val="22"/>
                <w:szCs w:val="22"/>
                <w:lang w:val="es-BO"/>
              </w:rPr>
              <w:t>30</w:t>
            </w:r>
            <w:r w:rsidRPr="002E6F6D">
              <w:rPr>
                <w:sz w:val="22"/>
                <w:szCs w:val="22"/>
                <w:lang w:val="es-BO"/>
              </w:rPr>
              <w:t xml:space="preserve"> de </w:t>
            </w:r>
            <w:r>
              <w:rPr>
                <w:sz w:val="22"/>
                <w:szCs w:val="22"/>
                <w:lang w:val="es-BO"/>
              </w:rPr>
              <w:t>noviembre</w:t>
            </w:r>
            <w:r w:rsidRPr="002E6F6D">
              <w:rPr>
                <w:sz w:val="22"/>
                <w:szCs w:val="22"/>
                <w:lang w:val="es-BO"/>
              </w:rPr>
              <w:t>).</w:t>
            </w:r>
          </w:p>
        </w:tc>
      </w:tr>
      <w:tr w:rsidR="00813AF1" w:rsidRPr="002E6F6D" w14:paraId="4FEB28AA" w14:textId="77777777" w:rsidTr="00D62346">
        <w:tc>
          <w:tcPr>
            <w:tcW w:w="867" w:type="dxa"/>
            <w:vMerge/>
            <w:vAlign w:val="center"/>
          </w:tcPr>
          <w:p w14:paraId="6AB59F1F" w14:textId="77777777" w:rsidR="00813AF1" w:rsidRPr="002E6F6D" w:rsidRDefault="00813AF1" w:rsidP="004256AA">
            <w:pPr>
              <w:rPr>
                <w:sz w:val="22"/>
                <w:szCs w:val="22"/>
                <w:lang w:val="es-BO"/>
              </w:rPr>
            </w:pPr>
          </w:p>
        </w:tc>
        <w:tc>
          <w:tcPr>
            <w:tcW w:w="1396" w:type="dxa"/>
            <w:vMerge/>
            <w:vAlign w:val="center"/>
          </w:tcPr>
          <w:p w14:paraId="54A664CB" w14:textId="77777777" w:rsidR="00813AF1" w:rsidRPr="002E6F6D" w:rsidRDefault="00813AF1" w:rsidP="004256AA">
            <w:pPr>
              <w:rPr>
                <w:sz w:val="22"/>
                <w:szCs w:val="22"/>
                <w:lang w:val="es-BO"/>
              </w:rPr>
            </w:pPr>
          </w:p>
        </w:tc>
        <w:tc>
          <w:tcPr>
            <w:tcW w:w="6231" w:type="dxa"/>
          </w:tcPr>
          <w:p w14:paraId="0E75953E" w14:textId="0E7978F5" w:rsidR="00813AF1" w:rsidRPr="002E6F6D" w:rsidRDefault="00813AF1" w:rsidP="004256AA">
            <w:pPr>
              <w:rPr>
                <w:sz w:val="22"/>
                <w:szCs w:val="22"/>
                <w:lang w:val="es-BO"/>
              </w:rPr>
            </w:pPr>
            <w:r w:rsidRPr="002E6F6D">
              <w:rPr>
                <w:sz w:val="22"/>
                <w:szCs w:val="22"/>
                <w:lang w:val="es-BO"/>
              </w:rPr>
              <w:t>Convocatoria de expertos (incluye expertos y representantes de pueblos indígenas, comunidades locales y otras comunidades tribales-</w:t>
            </w:r>
            <w:proofErr w:type="spellStart"/>
            <w:r w:rsidRPr="002E6F6D">
              <w:rPr>
                <w:sz w:val="22"/>
                <w:szCs w:val="22"/>
                <w:lang w:val="es-BO"/>
              </w:rPr>
              <w:t>PICLyOCT</w:t>
            </w:r>
            <w:proofErr w:type="spellEnd"/>
            <w:r w:rsidRPr="002E6F6D">
              <w:rPr>
                <w:sz w:val="22"/>
                <w:szCs w:val="22"/>
                <w:lang w:val="es-BO"/>
              </w:rPr>
              <w:t xml:space="preserve"> para la revisión del documento de ámbito (</w:t>
            </w:r>
            <w:r w:rsidR="007133CD">
              <w:rPr>
                <w:sz w:val="22"/>
                <w:szCs w:val="22"/>
                <w:lang w:val="es-BO"/>
              </w:rPr>
              <w:t xml:space="preserve">1 a </w:t>
            </w:r>
            <w:r w:rsidRPr="002E6F6D">
              <w:rPr>
                <w:sz w:val="22"/>
                <w:szCs w:val="22"/>
                <w:lang w:val="es-BO"/>
              </w:rPr>
              <w:t xml:space="preserve">30 de </w:t>
            </w:r>
            <w:r>
              <w:rPr>
                <w:sz w:val="22"/>
                <w:szCs w:val="22"/>
                <w:lang w:val="es-BO"/>
              </w:rPr>
              <w:t>diciembre</w:t>
            </w:r>
            <w:r w:rsidRPr="002E6F6D">
              <w:rPr>
                <w:sz w:val="22"/>
                <w:szCs w:val="22"/>
                <w:lang w:val="es-BO"/>
              </w:rPr>
              <w:t>).</w:t>
            </w:r>
          </w:p>
        </w:tc>
      </w:tr>
      <w:tr w:rsidR="00813AF1" w:rsidRPr="002E6F6D" w14:paraId="5FC3E7F8" w14:textId="77777777" w:rsidTr="00D62346">
        <w:tc>
          <w:tcPr>
            <w:tcW w:w="867" w:type="dxa"/>
            <w:vMerge w:val="restart"/>
            <w:vAlign w:val="center"/>
          </w:tcPr>
          <w:p w14:paraId="3FE2E58A" w14:textId="129E9B68" w:rsidR="00813AF1" w:rsidRPr="002E6F6D" w:rsidRDefault="00813AF1" w:rsidP="004256AA">
            <w:pPr>
              <w:rPr>
                <w:sz w:val="22"/>
                <w:szCs w:val="22"/>
                <w:lang w:val="es-BO"/>
              </w:rPr>
            </w:pPr>
            <w:r w:rsidRPr="002E6F6D">
              <w:rPr>
                <w:sz w:val="22"/>
                <w:szCs w:val="22"/>
                <w:lang w:val="es-BO"/>
              </w:rPr>
              <w:t>2021</w:t>
            </w:r>
          </w:p>
        </w:tc>
        <w:tc>
          <w:tcPr>
            <w:tcW w:w="1396" w:type="dxa"/>
            <w:vMerge w:val="restart"/>
            <w:vAlign w:val="center"/>
          </w:tcPr>
          <w:p w14:paraId="7E8CC242" w14:textId="65220925" w:rsidR="00813AF1" w:rsidRPr="002E6F6D" w:rsidRDefault="00813AF1" w:rsidP="004256AA">
            <w:pPr>
              <w:rPr>
                <w:sz w:val="22"/>
                <w:szCs w:val="22"/>
                <w:lang w:val="es-BO"/>
              </w:rPr>
            </w:pPr>
            <w:r>
              <w:rPr>
                <w:sz w:val="22"/>
                <w:szCs w:val="22"/>
                <w:lang w:val="es-BO"/>
              </w:rPr>
              <w:t>Primero</w:t>
            </w:r>
          </w:p>
        </w:tc>
        <w:tc>
          <w:tcPr>
            <w:tcW w:w="6231" w:type="dxa"/>
          </w:tcPr>
          <w:p w14:paraId="79056A17" w14:textId="56B0420C" w:rsidR="00813AF1" w:rsidRPr="002E6F6D" w:rsidRDefault="00813AF1" w:rsidP="004256AA">
            <w:pPr>
              <w:rPr>
                <w:sz w:val="22"/>
                <w:szCs w:val="22"/>
                <w:lang w:val="es-BO"/>
              </w:rPr>
            </w:pPr>
            <w:r w:rsidRPr="002E6F6D">
              <w:rPr>
                <w:sz w:val="22"/>
                <w:szCs w:val="22"/>
                <w:lang w:val="es-BO"/>
              </w:rPr>
              <w:t>Reuniones virtuales de autores para la discusión del documento de ámbito (</w:t>
            </w:r>
            <w:r>
              <w:rPr>
                <w:sz w:val="22"/>
                <w:szCs w:val="22"/>
                <w:lang w:val="es-BO"/>
              </w:rPr>
              <w:t>1</w:t>
            </w:r>
            <w:r w:rsidRPr="002E6F6D">
              <w:rPr>
                <w:sz w:val="22"/>
                <w:szCs w:val="22"/>
                <w:lang w:val="es-BO"/>
              </w:rPr>
              <w:t xml:space="preserve">0 de </w:t>
            </w:r>
            <w:r>
              <w:rPr>
                <w:sz w:val="22"/>
                <w:szCs w:val="22"/>
                <w:lang w:val="es-BO"/>
              </w:rPr>
              <w:t xml:space="preserve">enero </w:t>
            </w:r>
            <w:r w:rsidRPr="002E6F6D">
              <w:rPr>
                <w:sz w:val="22"/>
                <w:szCs w:val="22"/>
                <w:lang w:val="es-BO"/>
              </w:rPr>
              <w:t xml:space="preserve">al 31 de </w:t>
            </w:r>
            <w:r>
              <w:rPr>
                <w:sz w:val="22"/>
                <w:szCs w:val="22"/>
                <w:lang w:val="es-BO"/>
              </w:rPr>
              <w:t>febrero</w:t>
            </w:r>
            <w:r w:rsidRPr="002E6F6D">
              <w:rPr>
                <w:sz w:val="22"/>
                <w:szCs w:val="22"/>
                <w:lang w:val="es-BO"/>
              </w:rPr>
              <w:t>).</w:t>
            </w:r>
          </w:p>
        </w:tc>
      </w:tr>
      <w:tr w:rsidR="00813AF1" w:rsidRPr="002E6F6D" w14:paraId="66DC2D5E" w14:textId="77777777" w:rsidTr="00D62346">
        <w:tc>
          <w:tcPr>
            <w:tcW w:w="867" w:type="dxa"/>
            <w:vMerge/>
            <w:vAlign w:val="center"/>
          </w:tcPr>
          <w:p w14:paraId="0738DCAC" w14:textId="34DCB87E" w:rsidR="00813AF1" w:rsidRPr="002E6F6D" w:rsidRDefault="00813AF1" w:rsidP="004256AA">
            <w:pPr>
              <w:rPr>
                <w:sz w:val="22"/>
                <w:szCs w:val="22"/>
                <w:lang w:val="es-BO"/>
              </w:rPr>
            </w:pPr>
          </w:p>
        </w:tc>
        <w:tc>
          <w:tcPr>
            <w:tcW w:w="1396" w:type="dxa"/>
            <w:vMerge/>
            <w:vAlign w:val="center"/>
          </w:tcPr>
          <w:p w14:paraId="2B766B35" w14:textId="77777777" w:rsidR="00813AF1" w:rsidRPr="002E6F6D" w:rsidRDefault="00813AF1" w:rsidP="004256AA">
            <w:pPr>
              <w:rPr>
                <w:sz w:val="22"/>
                <w:szCs w:val="22"/>
                <w:lang w:val="es-BO"/>
              </w:rPr>
            </w:pPr>
          </w:p>
        </w:tc>
        <w:tc>
          <w:tcPr>
            <w:tcW w:w="6231" w:type="dxa"/>
          </w:tcPr>
          <w:p w14:paraId="78FB96FC" w14:textId="42E2B208" w:rsidR="00813AF1" w:rsidRPr="002E6F6D" w:rsidRDefault="00813AF1" w:rsidP="004256AA">
            <w:pPr>
              <w:rPr>
                <w:sz w:val="22"/>
                <w:szCs w:val="22"/>
                <w:lang w:val="es-BO"/>
              </w:rPr>
            </w:pPr>
            <w:r w:rsidRPr="002E6F6D">
              <w:rPr>
                <w:sz w:val="22"/>
                <w:szCs w:val="22"/>
                <w:lang w:val="es-BO"/>
              </w:rPr>
              <w:t xml:space="preserve">Aprobación del documento de ámbito por los expertos (10 </w:t>
            </w:r>
            <w:r>
              <w:rPr>
                <w:sz w:val="22"/>
                <w:szCs w:val="22"/>
                <w:lang w:val="es-BO"/>
              </w:rPr>
              <w:t>marzo</w:t>
            </w:r>
            <w:r w:rsidRPr="002E6F6D">
              <w:rPr>
                <w:sz w:val="22"/>
                <w:szCs w:val="22"/>
                <w:lang w:val="es-BO"/>
              </w:rPr>
              <w:t>).</w:t>
            </w:r>
          </w:p>
        </w:tc>
      </w:tr>
      <w:tr w:rsidR="00813AF1" w:rsidRPr="002E6F6D" w14:paraId="186FBD52" w14:textId="77777777" w:rsidTr="00D62346">
        <w:tc>
          <w:tcPr>
            <w:tcW w:w="867" w:type="dxa"/>
            <w:vMerge/>
            <w:vAlign w:val="center"/>
          </w:tcPr>
          <w:p w14:paraId="0D58BAF8" w14:textId="4407D6DE" w:rsidR="00813AF1" w:rsidRPr="002E6F6D" w:rsidRDefault="00813AF1" w:rsidP="004256AA">
            <w:pPr>
              <w:rPr>
                <w:sz w:val="22"/>
                <w:szCs w:val="22"/>
                <w:lang w:val="es-BO"/>
              </w:rPr>
            </w:pPr>
          </w:p>
        </w:tc>
        <w:tc>
          <w:tcPr>
            <w:tcW w:w="1396" w:type="dxa"/>
            <w:vMerge/>
            <w:vAlign w:val="center"/>
          </w:tcPr>
          <w:p w14:paraId="20096C46" w14:textId="77777777" w:rsidR="00813AF1" w:rsidRPr="002E6F6D" w:rsidRDefault="00813AF1" w:rsidP="004256AA">
            <w:pPr>
              <w:rPr>
                <w:sz w:val="22"/>
                <w:szCs w:val="22"/>
                <w:lang w:val="es-BO"/>
              </w:rPr>
            </w:pPr>
          </w:p>
        </w:tc>
        <w:tc>
          <w:tcPr>
            <w:tcW w:w="6231" w:type="dxa"/>
          </w:tcPr>
          <w:p w14:paraId="248B8B67" w14:textId="0DD4B76C" w:rsidR="00813AF1" w:rsidRPr="002E6F6D" w:rsidRDefault="00813AF1" w:rsidP="004256AA">
            <w:pPr>
              <w:rPr>
                <w:sz w:val="22"/>
                <w:szCs w:val="22"/>
                <w:lang w:val="es-BO"/>
              </w:rPr>
            </w:pPr>
            <w:r w:rsidRPr="002E6F6D">
              <w:rPr>
                <w:sz w:val="22"/>
                <w:szCs w:val="22"/>
                <w:lang w:val="es-BO"/>
              </w:rPr>
              <w:t>Traducción del documento de ámbito (10 al 12 de</w:t>
            </w:r>
            <w:r>
              <w:rPr>
                <w:sz w:val="22"/>
                <w:szCs w:val="22"/>
                <w:lang w:val="es-BO"/>
              </w:rPr>
              <w:t xml:space="preserve"> marzo</w:t>
            </w:r>
            <w:r w:rsidRPr="002E6F6D">
              <w:rPr>
                <w:sz w:val="22"/>
                <w:szCs w:val="22"/>
                <w:lang w:val="es-BO"/>
              </w:rPr>
              <w:t>)</w:t>
            </w:r>
          </w:p>
        </w:tc>
      </w:tr>
      <w:tr w:rsidR="00813AF1" w:rsidRPr="002E6F6D" w14:paraId="1CF64C7F" w14:textId="77777777" w:rsidTr="00D62346">
        <w:tc>
          <w:tcPr>
            <w:tcW w:w="867" w:type="dxa"/>
            <w:vMerge/>
            <w:vAlign w:val="center"/>
          </w:tcPr>
          <w:p w14:paraId="0D0AACE4" w14:textId="68918D15" w:rsidR="00813AF1" w:rsidRPr="002E6F6D" w:rsidRDefault="00813AF1" w:rsidP="004256AA">
            <w:pPr>
              <w:rPr>
                <w:sz w:val="22"/>
                <w:szCs w:val="22"/>
                <w:lang w:val="es-BO"/>
              </w:rPr>
            </w:pPr>
          </w:p>
        </w:tc>
        <w:tc>
          <w:tcPr>
            <w:tcW w:w="1396" w:type="dxa"/>
            <w:vAlign w:val="center"/>
          </w:tcPr>
          <w:p w14:paraId="30A4662E" w14:textId="77777777" w:rsidR="00813AF1" w:rsidRDefault="00813AF1" w:rsidP="004256AA">
            <w:pPr>
              <w:rPr>
                <w:sz w:val="22"/>
                <w:szCs w:val="22"/>
                <w:lang w:val="es-BO"/>
              </w:rPr>
            </w:pPr>
            <w:r>
              <w:rPr>
                <w:sz w:val="22"/>
                <w:szCs w:val="22"/>
                <w:lang w:val="es-BO"/>
              </w:rPr>
              <w:t>Primero/</w:t>
            </w:r>
          </w:p>
          <w:p w14:paraId="6D976252" w14:textId="2240F284" w:rsidR="00813AF1" w:rsidRPr="002E6F6D" w:rsidRDefault="00813AF1" w:rsidP="004256AA">
            <w:pPr>
              <w:rPr>
                <w:sz w:val="22"/>
                <w:szCs w:val="22"/>
                <w:lang w:val="es-BO"/>
              </w:rPr>
            </w:pPr>
            <w:r>
              <w:rPr>
                <w:sz w:val="22"/>
                <w:szCs w:val="22"/>
                <w:lang w:val="es-BO"/>
              </w:rPr>
              <w:t>segundo</w:t>
            </w:r>
          </w:p>
        </w:tc>
        <w:tc>
          <w:tcPr>
            <w:tcW w:w="6231" w:type="dxa"/>
          </w:tcPr>
          <w:p w14:paraId="63A3C62B" w14:textId="30BDC4DB" w:rsidR="00813AF1" w:rsidRPr="002E6F6D" w:rsidRDefault="00813AF1" w:rsidP="004256AA">
            <w:pPr>
              <w:rPr>
                <w:sz w:val="22"/>
                <w:szCs w:val="22"/>
                <w:lang w:val="es-BO"/>
              </w:rPr>
            </w:pPr>
            <w:r w:rsidRPr="002E6F6D">
              <w:rPr>
                <w:sz w:val="22"/>
                <w:szCs w:val="22"/>
                <w:lang w:val="es-BO"/>
              </w:rPr>
              <w:t xml:space="preserve">Revisión externa del documento de ámbito (16 de </w:t>
            </w:r>
            <w:r>
              <w:rPr>
                <w:sz w:val="22"/>
                <w:szCs w:val="22"/>
                <w:lang w:val="es-BO"/>
              </w:rPr>
              <w:t xml:space="preserve">marzo </w:t>
            </w:r>
            <w:r w:rsidRPr="002E6F6D">
              <w:rPr>
                <w:sz w:val="22"/>
                <w:szCs w:val="22"/>
                <w:lang w:val="es-BO"/>
              </w:rPr>
              <w:t xml:space="preserve">al 5 de </w:t>
            </w:r>
            <w:r>
              <w:rPr>
                <w:sz w:val="22"/>
                <w:szCs w:val="22"/>
                <w:lang w:val="es-BO"/>
              </w:rPr>
              <w:t>abril</w:t>
            </w:r>
            <w:r w:rsidRPr="002E6F6D">
              <w:rPr>
                <w:sz w:val="22"/>
                <w:szCs w:val="22"/>
                <w:lang w:val="es-BO"/>
              </w:rPr>
              <w:t>).</w:t>
            </w:r>
          </w:p>
        </w:tc>
      </w:tr>
      <w:tr w:rsidR="00813AF1" w:rsidRPr="002E6F6D" w14:paraId="170B41E4" w14:textId="77777777" w:rsidTr="00D62346">
        <w:tc>
          <w:tcPr>
            <w:tcW w:w="867" w:type="dxa"/>
            <w:vMerge/>
            <w:vAlign w:val="center"/>
          </w:tcPr>
          <w:p w14:paraId="5E79F23B" w14:textId="526BBE65" w:rsidR="00813AF1" w:rsidRPr="002E6F6D" w:rsidRDefault="00813AF1" w:rsidP="004256AA">
            <w:pPr>
              <w:rPr>
                <w:sz w:val="22"/>
                <w:szCs w:val="22"/>
                <w:lang w:val="es-BO"/>
              </w:rPr>
            </w:pPr>
          </w:p>
        </w:tc>
        <w:tc>
          <w:tcPr>
            <w:tcW w:w="1396" w:type="dxa"/>
            <w:vMerge w:val="restart"/>
            <w:vAlign w:val="center"/>
          </w:tcPr>
          <w:p w14:paraId="52E61422" w14:textId="77777777" w:rsidR="00813AF1" w:rsidRPr="002E6F6D" w:rsidRDefault="00813AF1" w:rsidP="004256AA">
            <w:pPr>
              <w:rPr>
                <w:sz w:val="22"/>
                <w:szCs w:val="22"/>
                <w:lang w:val="es-BO"/>
              </w:rPr>
            </w:pPr>
            <w:r>
              <w:rPr>
                <w:sz w:val="22"/>
                <w:szCs w:val="22"/>
                <w:lang w:val="es-BO"/>
              </w:rPr>
              <w:t>Segundo</w:t>
            </w:r>
          </w:p>
          <w:p w14:paraId="074EA6E4" w14:textId="7B35D727" w:rsidR="00813AF1" w:rsidRPr="002E6F6D" w:rsidRDefault="00813AF1" w:rsidP="004256AA">
            <w:pPr>
              <w:rPr>
                <w:sz w:val="22"/>
                <w:szCs w:val="22"/>
                <w:lang w:val="es-BO"/>
              </w:rPr>
            </w:pPr>
          </w:p>
        </w:tc>
        <w:tc>
          <w:tcPr>
            <w:tcW w:w="6231" w:type="dxa"/>
          </w:tcPr>
          <w:p w14:paraId="6F652A0E" w14:textId="5B8BEBF3" w:rsidR="00813AF1" w:rsidRPr="002E6F6D" w:rsidRDefault="00813AF1" w:rsidP="004256AA">
            <w:pPr>
              <w:rPr>
                <w:sz w:val="22"/>
                <w:szCs w:val="22"/>
                <w:lang w:val="es-BO"/>
              </w:rPr>
            </w:pPr>
            <w:r w:rsidRPr="002E6F6D">
              <w:rPr>
                <w:sz w:val="22"/>
                <w:szCs w:val="22"/>
                <w:lang w:val="es-BO"/>
              </w:rPr>
              <w:t xml:space="preserve">Ajuste del documento de ámbito con los resultados de la revisión externa (6 al 12 de </w:t>
            </w:r>
            <w:r>
              <w:rPr>
                <w:sz w:val="22"/>
                <w:szCs w:val="22"/>
                <w:lang w:val="es-BO"/>
              </w:rPr>
              <w:t>abril</w:t>
            </w:r>
            <w:r w:rsidRPr="002E6F6D">
              <w:rPr>
                <w:sz w:val="22"/>
                <w:szCs w:val="22"/>
                <w:lang w:val="es-BO"/>
              </w:rPr>
              <w:t>).</w:t>
            </w:r>
          </w:p>
        </w:tc>
      </w:tr>
      <w:tr w:rsidR="00813AF1" w:rsidRPr="002E6F6D" w14:paraId="14F9D50D" w14:textId="77777777" w:rsidTr="00D62346">
        <w:tc>
          <w:tcPr>
            <w:tcW w:w="867" w:type="dxa"/>
            <w:vMerge/>
            <w:vAlign w:val="center"/>
          </w:tcPr>
          <w:p w14:paraId="21AB9336" w14:textId="071FFA33" w:rsidR="00813AF1" w:rsidRPr="002E6F6D" w:rsidRDefault="00813AF1" w:rsidP="004256AA">
            <w:pPr>
              <w:rPr>
                <w:sz w:val="22"/>
                <w:szCs w:val="22"/>
                <w:lang w:val="es-BO"/>
              </w:rPr>
            </w:pPr>
          </w:p>
        </w:tc>
        <w:tc>
          <w:tcPr>
            <w:tcW w:w="1396" w:type="dxa"/>
            <w:vMerge/>
            <w:vAlign w:val="center"/>
          </w:tcPr>
          <w:p w14:paraId="4E3B36AA" w14:textId="25F569BC" w:rsidR="00813AF1" w:rsidRPr="002E6F6D" w:rsidRDefault="00813AF1" w:rsidP="004256AA">
            <w:pPr>
              <w:rPr>
                <w:sz w:val="22"/>
                <w:szCs w:val="22"/>
                <w:lang w:val="es-BO"/>
              </w:rPr>
            </w:pPr>
          </w:p>
        </w:tc>
        <w:tc>
          <w:tcPr>
            <w:tcW w:w="6231" w:type="dxa"/>
          </w:tcPr>
          <w:p w14:paraId="50ACEC80" w14:textId="21E7C1FD" w:rsidR="00813AF1" w:rsidRPr="002E6F6D" w:rsidRDefault="00813AF1" w:rsidP="004256AA">
            <w:pPr>
              <w:rPr>
                <w:sz w:val="22"/>
                <w:szCs w:val="22"/>
                <w:lang w:val="es-BO"/>
              </w:rPr>
            </w:pPr>
            <w:r w:rsidRPr="002E6F6D">
              <w:rPr>
                <w:sz w:val="22"/>
                <w:szCs w:val="22"/>
                <w:lang w:val="es-BO"/>
              </w:rPr>
              <w:t xml:space="preserve">Aprobación por los gobiernos de los PM del documento de ámbito </w:t>
            </w:r>
            <w:r w:rsidRPr="002E6F6D">
              <w:rPr>
                <w:b/>
                <w:bCs/>
                <w:sz w:val="22"/>
                <w:szCs w:val="22"/>
                <w:lang w:val="es-BO"/>
              </w:rPr>
              <w:t>(reunión PM)</w:t>
            </w:r>
            <w:r w:rsidRPr="002E6F6D">
              <w:rPr>
                <w:sz w:val="22"/>
                <w:szCs w:val="22"/>
                <w:lang w:val="es-BO"/>
              </w:rPr>
              <w:t xml:space="preserve"> (14 al 16 de </w:t>
            </w:r>
            <w:r>
              <w:rPr>
                <w:sz w:val="22"/>
                <w:szCs w:val="22"/>
                <w:lang w:val="es-BO"/>
              </w:rPr>
              <w:t>abril</w:t>
            </w:r>
            <w:r w:rsidRPr="002E6F6D">
              <w:rPr>
                <w:sz w:val="22"/>
                <w:szCs w:val="22"/>
                <w:lang w:val="es-BO"/>
              </w:rPr>
              <w:t>).</w:t>
            </w:r>
          </w:p>
        </w:tc>
      </w:tr>
      <w:tr w:rsidR="00813AF1" w:rsidRPr="002E6F6D" w14:paraId="11D93A66" w14:textId="77777777" w:rsidTr="00D62346">
        <w:tc>
          <w:tcPr>
            <w:tcW w:w="867" w:type="dxa"/>
            <w:vMerge/>
            <w:vAlign w:val="center"/>
          </w:tcPr>
          <w:p w14:paraId="79A6F96B" w14:textId="3519DA36" w:rsidR="00813AF1" w:rsidRPr="002E6F6D" w:rsidRDefault="00813AF1" w:rsidP="004256AA">
            <w:pPr>
              <w:rPr>
                <w:sz w:val="22"/>
                <w:szCs w:val="22"/>
                <w:lang w:val="es-BO"/>
              </w:rPr>
            </w:pPr>
          </w:p>
        </w:tc>
        <w:tc>
          <w:tcPr>
            <w:tcW w:w="1396" w:type="dxa"/>
            <w:vMerge/>
            <w:vAlign w:val="center"/>
          </w:tcPr>
          <w:p w14:paraId="15BB8665" w14:textId="6BED5982" w:rsidR="00813AF1" w:rsidRPr="002E6F6D" w:rsidRDefault="00813AF1" w:rsidP="004256AA">
            <w:pPr>
              <w:rPr>
                <w:sz w:val="22"/>
                <w:szCs w:val="22"/>
                <w:lang w:val="es-BO"/>
              </w:rPr>
            </w:pPr>
          </w:p>
        </w:tc>
        <w:tc>
          <w:tcPr>
            <w:tcW w:w="6231" w:type="dxa"/>
          </w:tcPr>
          <w:p w14:paraId="561F825E" w14:textId="3AD53062" w:rsidR="00813AF1" w:rsidRPr="002E6F6D" w:rsidRDefault="00813AF1" w:rsidP="004256AA">
            <w:pPr>
              <w:rPr>
                <w:sz w:val="22"/>
                <w:szCs w:val="22"/>
                <w:lang w:val="es-BO"/>
              </w:rPr>
            </w:pPr>
            <w:r w:rsidRPr="002E6F6D">
              <w:rPr>
                <w:sz w:val="22"/>
                <w:szCs w:val="22"/>
                <w:lang w:val="es-BO"/>
              </w:rPr>
              <w:t xml:space="preserve">El Comité Científico del informe con la participación de los autores a cargo de la elaboración del documento de ámbito realizan una revisión de los avances existentes (Evaluación de Américas, Brasil y Colombia, y progresos de </w:t>
            </w:r>
            <w:r w:rsidRPr="002E6F6D">
              <w:rPr>
                <w:i/>
                <w:iCs/>
                <w:sz w:val="22"/>
                <w:szCs w:val="22"/>
                <w:lang w:val="es-BO"/>
              </w:rPr>
              <w:t xml:space="preserve">Amazon </w:t>
            </w:r>
            <w:proofErr w:type="spellStart"/>
            <w:r w:rsidRPr="002E6F6D">
              <w:rPr>
                <w:i/>
                <w:iCs/>
                <w:sz w:val="22"/>
                <w:szCs w:val="22"/>
                <w:lang w:val="es-BO"/>
              </w:rPr>
              <w:t>Science</w:t>
            </w:r>
            <w:proofErr w:type="spellEnd"/>
            <w:r w:rsidRPr="002E6F6D">
              <w:rPr>
                <w:i/>
                <w:iCs/>
                <w:sz w:val="22"/>
                <w:szCs w:val="22"/>
                <w:lang w:val="es-BO"/>
              </w:rPr>
              <w:t xml:space="preserve"> Panel)</w:t>
            </w:r>
            <w:r w:rsidRPr="002E6F6D">
              <w:rPr>
                <w:sz w:val="22"/>
                <w:szCs w:val="22"/>
                <w:lang w:val="es-BO"/>
              </w:rPr>
              <w:t xml:space="preserve"> y elabora un documento de análisis de los vacíos de información que deben ser cubiertos por la evaluación (13 de </w:t>
            </w:r>
            <w:r>
              <w:rPr>
                <w:sz w:val="22"/>
                <w:szCs w:val="22"/>
                <w:lang w:val="es-BO"/>
              </w:rPr>
              <w:t>abril</w:t>
            </w:r>
            <w:r w:rsidRPr="002E6F6D">
              <w:rPr>
                <w:sz w:val="22"/>
                <w:szCs w:val="22"/>
                <w:lang w:val="es-BO"/>
              </w:rPr>
              <w:t xml:space="preserve"> 2020 al 10 de </w:t>
            </w:r>
            <w:r>
              <w:rPr>
                <w:sz w:val="22"/>
                <w:szCs w:val="22"/>
                <w:lang w:val="es-BO"/>
              </w:rPr>
              <w:t>mayo</w:t>
            </w:r>
            <w:r w:rsidRPr="002E6F6D">
              <w:rPr>
                <w:sz w:val="22"/>
                <w:szCs w:val="22"/>
                <w:lang w:val="es-BO"/>
              </w:rPr>
              <w:t xml:space="preserve"> 2021).</w:t>
            </w:r>
          </w:p>
        </w:tc>
      </w:tr>
      <w:tr w:rsidR="00813AF1" w:rsidRPr="002E6F6D" w14:paraId="343C9F0F" w14:textId="77777777" w:rsidTr="00D62346">
        <w:tc>
          <w:tcPr>
            <w:tcW w:w="867" w:type="dxa"/>
            <w:vMerge/>
            <w:vAlign w:val="center"/>
          </w:tcPr>
          <w:p w14:paraId="55A22442" w14:textId="77777777" w:rsidR="00813AF1" w:rsidRPr="002E6F6D" w:rsidRDefault="00813AF1" w:rsidP="004256AA">
            <w:pPr>
              <w:rPr>
                <w:sz w:val="22"/>
                <w:szCs w:val="22"/>
                <w:lang w:val="es-BO"/>
              </w:rPr>
            </w:pPr>
          </w:p>
        </w:tc>
        <w:tc>
          <w:tcPr>
            <w:tcW w:w="1396" w:type="dxa"/>
            <w:vMerge/>
            <w:vAlign w:val="center"/>
          </w:tcPr>
          <w:p w14:paraId="4855E393" w14:textId="63A66462" w:rsidR="00813AF1" w:rsidRPr="002E6F6D" w:rsidRDefault="00813AF1" w:rsidP="004256AA">
            <w:pPr>
              <w:rPr>
                <w:sz w:val="22"/>
                <w:szCs w:val="22"/>
                <w:lang w:val="es-BO"/>
              </w:rPr>
            </w:pPr>
          </w:p>
        </w:tc>
        <w:tc>
          <w:tcPr>
            <w:tcW w:w="6231" w:type="dxa"/>
          </w:tcPr>
          <w:p w14:paraId="220851F3" w14:textId="6EAC2837" w:rsidR="00813AF1" w:rsidRPr="002E6F6D" w:rsidRDefault="00813AF1" w:rsidP="004256AA">
            <w:pPr>
              <w:rPr>
                <w:sz w:val="22"/>
                <w:szCs w:val="22"/>
                <w:lang w:val="es-BO"/>
              </w:rPr>
            </w:pPr>
            <w:r w:rsidRPr="002E6F6D">
              <w:rPr>
                <w:sz w:val="22"/>
                <w:szCs w:val="22"/>
                <w:lang w:val="es-BO"/>
              </w:rPr>
              <w:t>La SP/OTCA realiza un llamado a los gobiernos y otros actores para la nominación de expertos (</w:t>
            </w:r>
            <w:proofErr w:type="spellStart"/>
            <w:r w:rsidRPr="002E6F6D">
              <w:rPr>
                <w:sz w:val="22"/>
                <w:szCs w:val="22"/>
                <w:lang w:val="es-BO"/>
              </w:rPr>
              <w:t>co-presidentes</w:t>
            </w:r>
            <w:proofErr w:type="spellEnd"/>
            <w:r w:rsidRPr="002E6F6D">
              <w:rPr>
                <w:sz w:val="22"/>
                <w:szCs w:val="22"/>
                <w:lang w:val="es-BO"/>
              </w:rPr>
              <w:t xml:space="preserve"> del informe, autores principales coordinadores, autores principales y editores revisores) para conducir la evaluación basada en los resultados del documento de alcance aprobado por los gobiernos (15 de </w:t>
            </w:r>
            <w:r>
              <w:rPr>
                <w:sz w:val="22"/>
                <w:szCs w:val="22"/>
                <w:lang w:val="es-BO"/>
              </w:rPr>
              <w:t>abril</w:t>
            </w:r>
            <w:r w:rsidRPr="002E6F6D">
              <w:rPr>
                <w:sz w:val="22"/>
                <w:szCs w:val="22"/>
                <w:lang w:val="es-BO"/>
              </w:rPr>
              <w:t xml:space="preserve"> al 10 de </w:t>
            </w:r>
            <w:r>
              <w:rPr>
                <w:sz w:val="22"/>
                <w:szCs w:val="22"/>
                <w:lang w:val="es-BO"/>
              </w:rPr>
              <w:t>mayo</w:t>
            </w:r>
            <w:r w:rsidRPr="002E6F6D">
              <w:rPr>
                <w:sz w:val="22"/>
                <w:szCs w:val="22"/>
                <w:lang w:val="es-BO"/>
              </w:rPr>
              <w:t xml:space="preserve"> de 2021). Las/os miembros del grupo de expertos del documento de ámbito en caso de querer continuar en el proceso deben presentar nuevamente su candidatura.</w:t>
            </w:r>
          </w:p>
        </w:tc>
      </w:tr>
      <w:tr w:rsidR="00813AF1" w:rsidRPr="002E6F6D" w14:paraId="74D2DC54" w14:textId="77777777" w:rsidTr="00D62346">
        <w:tc>
          <w:tcPr>
            <w:tcW w:w="867" w:type="dxa"/>
            <w:vMerge/>
            <w:vAlign w:val="center"/>
          </w:tcPr>
          <w:p w14:paraId="67853D52" w14:textId="77777777" w:rsidR="00813AF1" w:rsidRPr="002E6F6D" w:rsidRDefault="00813AF1" w:rsidP="004256AA">
            <w:pPr>
              <w:rPr>
                <w:sz w:val="22"/>
                <w:szCs w:val="22"/>
                <w:lang w:val="es-BO"/>
              </w:rPr>
            </w:pPr>
          </w:p>
        </w:tc>
        <w:tc>
          <w:tcPr>
            <w:tcW w:w="1396" w:type="dxa"/>
            <w:vMerge/>
            <w:vAlign w:val="center"/>
          </w:tcPr>
          <w:p w14:paraId="7D8E6ABF" w14:textId="77777777" w:rsidR="00813AF1" w:rsidRPr="002E6F6D" w:rsidRDefault="00813AF1" w:rsidP="004256AA">
            <w:pPr>
              <w:rPr>
                <w:sz w:val="22"/>
                <w:szCs w:val="22"/>
                <w:lang w:val="es-BO"/>
              </w:rPr>
            </w:pPr>
          </w:p>
        </w:tc>
        <w:tc>
          <w:tcPr>
            <w:tcW w:w="6231" w:type="dxa"/>
          </w:tcPr>
          <w:p w14:paraId="5BA21A2B" w14:textId="5D8FAD3B" w:rsidR="00813AF1" w:rsidRPr="002E6F6D" w:rsidRDefault="00813AF1" w:rsidP="004256AA">
            <w:pPr>
              <w:rPr>
                <w:sz w:val="22"/>
                <w:szCs w:val="22"/>
                <w:lang w:val="es-BO"/>
              </w:rPr>
            </w:pPr>
            <w:r w:rsidRPr="002E6F6D">
              <w:rPr>
                <w:sz w:val="22"/>
                <w:szCs w:val="22"/>
                <w:lang w:val="es-BO"/>
              </w:rPr>
              <w:t xml:space="preserve">El Comité Científico vía e-mail and VC selecciona a los </w:t>
            </w:r>
            <w:proofErr w:type="spellStart"/>
            <w:r w:rsidRPr="002E6F6D">
              <w:rPr>
                <w:sz w:val="22"/>
                <w:szCs w:val="22"/>
                <w:lang w:val="es-BO"/>
              </w:rPr>
              <w:t>co-presidentes</w:t>
            </w:r>
            <w:proofErr w:type="spellEnd"/>
            <w:r w:rsidRPr="002E6F6D">
              <w:rPr>
                <w:sz w:val="22"/>
                <w:szCs w:val="22"/>
                <w:lang w:val="es-BO"/>
              </w:rPr>
              <w:t xml:space="preserve"> del informe, autores principales coordinadores, autores principales y editores revisores usando el criterio de selección de la BIPES (11 al 24 de </w:t>
            </w:r>
            <w:r>
              <w:rPr>
                <w:sz w:val="22"/>
                <w:szCs w:val="22"/>
                <w:lang w:val="es-BO"/>
              </w:rPr>
              <w:t>mayo</w:t>
            </w:r>
            <w:r w:rsidRPr="002E6F6D">
              <w:rPr>
                <w:sz w:val="22"/>
                <w:szCs w:val="22"/>
                <w:lang w:val="es-BO"/>
              </w:rPr>
              <w:t>), tomando como referencia principal el documento de análisis de vacíos de información.</w:t>
            </w:r>
          </w:p>
        </w:tc>
      </w:tr>
      <w:tr w:rsidR="00813AF1" w:rsidRPr="002E6F6D" w14:paraId="4D0E16EF" w14:textId="77777777" w:rsidTr="00D62346">
        <w:tc>
          <w:tcPr>
            <w:tcW w:w="867" w:type="dxa"/>
            <w:vMerge/>
            <w:vAlign w:val="center"/>
          </w:tcPr>
          <w:p w14:paraId="1075C1D3" w14:textId="77777777" w:rsidR="00813AF1" w:rsidRPr="002E6F6D" w:rsidRDefault="00813AF1" w:rsidP="004256AA">
            <w:pPr>
              <w:rPr>
                <w:sz w:val="22"/>
                <w:szCs w:val="22"/>
                <w:lang w:val="es-BO"/>
              </w:rPr>
            </w:pPr>
          </w:p>
        </w:tc>
        <w:tc>
          <w:tcPr>
            <w:tcW w:w="1396" w:type="dxa"/>
            <w:vAlign w:val="center"/>
          </w:tcPr>
          <w:p w14:paraId="10998396" w14:textId="6BF595F6" w:rsidR="00813AF1" w:rsidRPr="002E6F6D" w:rsidRDefault="00813AF1" w:rsidP="004256AA">
            <w:pPr>
              <w:rPr>
                <w:sz w:val="22"/>
                <w:szCs w:val="22"/>
                <w:lang w:val="es-BO"/>
              </w:rPr>
            </w:pPr>
            <w:r>
              <w:rPr>
                <w:sz w:val="22"/>
                <w:szCs w:val="22"/>
                <w:lang w:val="es-BO"/>
              </w:rPr>
              <w:t>Segundo/ tercero y cuarto</w:t>
            </w:r>
          </w:p>
        </w:tc>
        <w:tc>
          <w:tcPr>
            <w:tcW w:w="6231" w:type="dxa"/>
          </w:tcPr>
          <w:p w14:paraId="6C59D35A" w14:textId="1BD652EE" w:rsidR="00813AF1" w:rsidRPr="002E6F6D" w:rsidRDefault="00813AF1" w:rsidP="004256AA">
            <w:pPr>
              <w:rPr>
                <w:sz w:val="22"/>
                <w:szCs w:val="22"/>
                <w:lang w:val="es-BO"/>
              </w:rPr>
            </w:pPr>
            <w:r w:rsidRPr="002E6F6D">
              <w:rPr>
                <w:sz w:val="22"/>
                <w:szCs w:val="22"/>
                <w:lang w:val="es-BO"/>
              </w:rPr>
              <w:t xml:space="preserve">Los copresidentes del informe, los autores principales coordinadores y los autores principales preparan un borrador inicial del informe y un resumen para los encargados de formular políticas (del 25 de </w:t>
            </w:r>
            <w:r>
              <w:rPr>
                <w:sz w:val="22"/>
                <w:szCs w:val="22"/>
                <w:lang w:val="es-BO"/>
              </w:rPr>
              <w:t>mayo</w:t>
            </w:r>
            <w:r w:rsidRPr="002E6F6D">
              <w:rPr>
                <w:sz w:val="22"/>
                <w:szCs w:val="22"/>
                <w:lang w:val="es-BO"/>
              </w:rPr>
              <w:t xml:space="preserve"> al 25 de </w:t>
            </w:r>
            <w:r>
              <w:rPr>
                <w:sz w:val="22"/>
                <w:szCs w:val="22"/>
                <w:lang w:val="es-BO"/>
              </w:rPr>
              <w:t>noviembre</w:t>
            </w:r>
            <w:r w:rsidRPr="002E6F6D">
              <w:rPr>
                <w:sz w:val="22"/>
                <w:szCs w:val="22"/>
                <w:lang w:val="es-BO"/>
              </w:rPr>
              <w:t>). Los autores se reúnen en febrero para</w:t>
            </w:r>
            <w:r w:rsidRPr="002E6F6D">
              <w:rPr>
                <w:b/>
                <w:bCs/>
                <w:sz w:val="22"/>
                <w:szCs w:val="22"/>
                <w:lang w:val="es-BO"/>
              </w:rPr>
              <w:t xml:space="preserve"> (primera reunión) </w:t>
            </w:r>
            <w:r w:rsidRPr="002E6F6D">
              <w:rPr>
                <w:sz w:val="22"/>
                <w:szCs w:val="22"/>
                <w:lang w:val="es-BO"/>
              </w:rPr>
              <w:t xml:space="preserve">desarrollar aún más el esquema anotado y las secciones y capítulos que se les han asignado, y </w:t>
            </w:r>
            <w:r w:rsidRPr="002E6F6D">
              <w:rPr>
                <w:sz w:val="22"/>
                <w:szCs w:val="22"/>
                <w:lang w:val="es-BO"/>
              </w:rPr>
              <w:lastRenderedPageBreak/>
              <w:t>nuevamente a principios de julio para finalizar el informe y preparar el resumen para los encargados de formular políticas.</w:t>
            </w:r>
          </w:p>
        </w:tc>
      </w:tr>
      <w:tr w:rsidR="00813AF1" w:rsidRPr="002E6F6D" w14:paraId="6021983A" w14:textId="77777777" w:rsidTr="00D62346">
        <w:tc>
          <w:tcPr>
            <w:tcW w:w="867" w:type="dxa"/>
            <w:vMerge/>
            <w:vAlign w:val="center"/>
          </w:tcPr>
          <w:p w14:paraId="1D41E308" w14:textId="77777777" w:rsidR="00813AF1" w:rsidRPr="002E6F6D" w:rsidRDefault="00813AF1" w:rsidP="004256AA">
            <w:pPr>
              <w:rPr>
                <w:sz w:val="22"/>
                <w:szCs w:val="22"/>
                <w:lang w:val="es-BO"/>
              </w:rPr>
            </w:pPr>
          </w:p>
        </w:tc>
        <w:tc>
          <w:tcPr>
            <w:tcW w:w="1396" w:type="dxa"/>
            <w:vAlign w:val="center"/>
          </w:tcPr>
          <w:p w14:paraId="03AF6088" w14:textId="08383E58" w:rsidR="00813AF1" w:rsidRPr="002E6F6D" w:rsidRDefault="00813AF1" w:rsidP="004256AA">
            <w:pPr>
              <w:rPr>
                <w:sz w:val="22"/>
                <w:szCs w:val="22"/>
                <w:lang w:val="es-BO"/>
              </w:rPr>
            </w:pPr>
            <w:r>
              <w:rPr>
                <w:sz w:val="22"/>
                <w:szCs w:val="22"/>
                <w:lang w:val="es-BO"/>
              </w:rPr>
              <w:t>Tercero</w:t>
            </w:r>
          </w:p>
        </w:tc>
        <w:tc>
          <w:tcPr>
            <w:tcW w:w="6231" w:type="dxa"/>
          </w:tcPr>
          <w:p w14:paraId="7A1704D7" w14:textId="70BC6D30" w:rsidR="00813AF1" w:rsidRPr="002E6F6D" w:rsidRDefault="00813AF1" w:rsidP="004256AA">
            <w:pPr>
              <w:rPr>
                <w:sz w:val="22"/>
                <w:szCs w:val="22"/>
                <w:lang w:val="es-BO"/>
              </w:rPr>
            </w:pPr>
            <w:r w:rsidRPr="002E6F6D">
              <w:rPr>
                <w:sz w:val="22"/>
                <w:szCs w:val="22"/>
                <w:lang w:val="es-BO"/>
              </w:rPr>
              <w:t xml:space="preserve">Los copresidentes del informe, autores principales coordinadores y autores principales se reúnen con expertos y representantes de pueblos indígenas y otras comunidades tribales </w:t>
            </w:r>
            <w:r w:rsidRPr="002E6F6D">
              <w:rPr>
                <w:b/>
                <w:bCs/>
                <w:sz w:val="22"/>
                <w:szCs w:val="22"/>
                <w:lang w:val="es-BO"/>
              </w:rPr>
              <w:t xml:space="preserve">(reunión con </w:t>
            </w:r>
            <w:proofErr w:type="spellStart"/>
            <w:r w:rsidRPr="002E6F6D">
              <w:rPr>
                <w:b/>
                <w:bCs/>
                <w:sz w:val="22"/>
                <w:szCs w:val="22"/>
                <w:lang w:val="es-BO"/>
              </w:rPr>
              <w:t>PICLyOCT</w:t>
            </w:r>
            <w:proofErr w:type="spellEnd"/>
            <w:r w:rsidRPr="002E6F6D">
              <w:rPr>
                <w:b/>
                <w:bCs/>
                <w:sz w:val="22"/>
                <w:szCs w:val="22"/>
                <w:lang w:val="es-BO"/>
              </w:rPr>
              <w:t xml:space="preserve">) </w:t>
            </w:r>
            <w:r w:rsidRPr="002E6F6D">
              <w:rPr>
                <w:sz w:val="22"/>
                <w:szCs w:val="22"/>
                <w:lang w:val="es-BO"/>
              </w:rPr>
              <w:t xml:space="preserve">para para compartir enfoques y apreciaciones sobre temas específicos del informe (15 a 17 de </w:t>
            </w:r>
            <w:r>
              <w:rPr>
                <w:sz w:val="22"/>
                <w:szCs w:val="22"/>
                <w:lang w:val="es-BO"/>
              </w:rPr>
              <w:t>septiembre</w:t>
            </w:r>
            <w:r w:rsidRPr="002E6F6D">
              <w:rPr>
                <w:sz w:val="22"/>
                <w:szCs w:val="22"/>
                <w:lang w:val="es-BO"/>
              </w:rPr>
              <w:t xml:space="preserve">). </w:t>
            </w:r>
          </w:p>
        </w:tc>
      </w:tr>
      <w:tr w:rsidR="00813AF1" w:rsidRPr="002E6F6D" w14:paraId="31E78CE8" w14:textId="77777777" w:rsidTr="00D62346">
        <w:tc>
          <w:tcPr>
            <w:tcW w:w="867" w:type="dxa"/>
            <w:vMerge/>
            <w:vAlign w:val="center"/>
          </w:tcPr>
          <w:p w14:paraId="23BCF954" w14:textId="77777777" w:rsidR="00813AF1" w:rsidRPr="002E6F6D" w:rsidRDefault="00813AF1" w:rsidP="004256AA">
            <w:pPr>
              <w:rPr>
                <w:sz w:val="22"/>
                <w:szCs w:val="22"/>
                <w:lang w:val="es-BO"/>
              </w:rPr>
            </w:pPr>
          </w:p>
        </w:tc>
        <w:tc>
          <w:tcPr>
            <w:tcW w:w="1396" w:type="dxa"/>
            <w:vAlign w:val="center"/>
          </w:tcPr>
          <w:p w14:paraId="23B5CF07" w14:textId="07B5C5A0" w:rsidR="00813AF1" w:rsidRPr="002E6F6D" w:rsidRDefault="00813AF1" w:rsidP="004256AA">
            <w:pPr>
              <w:rPr>
                <w:sz w:val="22"/>
                <w:szCs w:val="22"/>
                <w:lang w:val="es-BO"/>
              </w:rPr>
            </w:pPr>
            <w:r>
              <w:rPr>
                <w:sz w:val="22"/>
                <w:szCs w:val="22"/>
                <w:lang w:val="es-BO"/>
              </w:rPr>
              <w:t>Cuarto</w:t>
            </w:r>
          </w:p>
        </w:tc>
        <w:tc>
          <w:tcPr>
            <w:tcW w:w="6231" w:type="dxa"/>
          </w:tcPr>
          <w:p w14:paraId="10D40C46" w14:textId="221A04F8" w:rsidR="00813AF1" w:rsidRPr="002E6F6D" w:rsidRDefault="00813AF1" w:rsidP="004256AA">
            <w:pPr>
              <w:rPr>
                <w:sz w:val="22"/>
                <w:szCs w:val="22"/>
                <w:lang w:val="es-BO"/>
              </w:rPr>
            </w:pPr>
            <w:r w:rsidRPr="002E6F6D">
              <w:rPr>
                <w:sz w:val="22"/>
                <w:szCs w:val="22"/>
                <w:lang w:val="es-BO"/>
              </w:rPr>
              <w:t xml:space="preserve">Revisión externa del borrador del informe y el resumen para los encargados de formular políticas son revisados por expertos, gobiernos y otras partes interesadas (26 de </w:t>
            </w:r>
            <w:r>
              <w:rPr>
                <w:sz w:val="22"/>
                <w:szCs w:val="22"/>
                <w:lang w:val="es-BO"/>
              </w:rPr>
              <w:t>noviembre</w:t>
            </w:r>
            <w:r w:rsidRPr="002E6F6D">
              <w:rPr>
                <w:sz w:val="22"/>
                <w:szCs w:val="22"/>
                <w:lang w:val="es-BO"/>
              </w:rPr>
              <w:t xml:space="preserve"> al 12 de </w:t>
            </w:r>
            <w:r>
              <w:rPr>
                <w:sz w:val="22"/>
                <w:szCs w:val="22"/>
                <w:lang w:val="es-BO"/>
              </w:rPr>
              <w:t>enero</w:t>
            </w:r>
            <w:r w:rsidRPr="002E6F6D">
              <w:rPr>
                <w:sz w:val="22"/>
                <w:szCs w:val="22"/>
                <w:lang w:val="es-BO"/>
              </w:rPr>
              <w:t>).</w:t>
            </w:r>
          </w:p>
        </w:tc>
      </w:tr>
      <w:tr w:rsidR="00813AF1" w:rsidRPr="002E6F6D" w14:paraId="39030D60" w14:textId="77777777" w:rsidTr="00D62346">
        <w:tc>
          <w:tcPr>
            <w:tcW w:w="867" w:type="dxa"/>
            <w:vMerge w:val="restart"/>
            <w:vAlign w:val="center"/>
          </w:tcPr>
          <w:p w14:paraId="02FDFD50" w14:textId="75319ECD" w:rsidR="00813AF1" w:rsidRPr="002E6F6D" w:rsidRDefault="00813AF1" w:rsidP="004256AA">
            <w:pPr>
              <w:rPr>
                <w:sz w:val="22"/>
                <w:szCs w:val="22"/>
                <w:lang w:val="es-BO"/>
              </w:rPr>
            </w:pPr>
            <w:r w:rsidRPr="002E6F6D">
              <w:rPr>
                <w:sz w:val="22"/>
                <w:szCs w:val="22"/>
                <w:lang w:val="es-BO"/>
              </w:rPr>
              <w:t>2022</w:t>
            </w:r>
          </w:p>
        </w:tc>
        <w:tc>
          <w:tcPr>
            <w:tcW w:w="1396" w:type="dxa"/>
            <w:vAlign w:val="center"/>
          </w:tcPr>
          <w:p w14:paraId="4F349448" w14:textId="5B3D5337" w:rsidR="00813AF1" w:rsidRPr="002E6F6D" w:rsidRDefault="00813AF1" w:rsidP="004256AA">
            <w:pPr>
              <w:rPr>
                <w:sz w:val="22"/>
                <w:szCs w:val="22"/>
                <w:lang w:val="es-BO"/>
              </w:rPr>
            </w:pPr>
            <w:r>
              <w:rPr>
                <w:sz w:val="22"/>
                <w:szCs w:val="22"/>
                <w:lang w:val="es-BO"/>
              </w:rPr>
              <w:t>Primero</w:t>
            </w:r>
          </w:p>
          <w:p w14:paraId="64EBA467" w14:textId="5DB3A101" w:rsidR="00813AF1" w:rsidRPr="002E6F6D" w:rsidRDefault="00813AF1" w:rsidP="004256AA">
            <w:pPr>
              <w:rPr>
                <w:sz w:val="22"/>
                <w:szCs w:val="22"/>
                <w:lang w:val="es-BO"/>
              </w:rPr>
            </w:pPr>
          </w:p>
        </w:tc>
        <w:tc>
          <w:tcPr>
            <w:tcW w:w="6231" w:type="dxa"/>
          </w:tcPr>
          <w:p w14:paraId="3F0EE20E" w14:textId="6E2D7C19" w:rsidR="00813AF1" w:rsidRPr="002E6F6D" w:rsidRDefault="00813AF1" w:rsidP="004256AA">
            <w:pPr>
              <w:rPr>
                <w:sz w:val="22"/>
                <w:szCs w:val="22"/>
                <w:lang w:val="es-BO"/>
              </w:rPr>
            </w:pPr>
            <w:r w:rsidRPr="002E6F6D">
              <w:rPr>
                <w:sz w:val="22"/>
                <w:szCs w:val="22"/>
                <w:lang w:val="es-BO"/>
              </w:rPr>
              <w:t>Los copresidentes del informe, los autores principales coordinadores y los autores principales revisan el primer borrador del informe y el resumen para los formuladores de políticas bajo la guía de los editores de revisión y el Comité Científico. Los autores y editores de revisión, con los miembros del Comité Científico, se reúnen</w:t>
            </w:r>
            <w:r w:rsidRPr="002E6F6D">
              <w:rPr>
                <w:b/>
                <w:bCs/>
                <w:sz w:val="22"/>
                <w:szCs w:val="22"/>
                <w:lang w:val="es-BO"/>
              </w:rPr>
              <w:t xml:space="preserve"> </w:t>
            </w:r>
            <w:r w:rsidRPr="002E6F6D">
              <w:rPr>
                <w:sz w:val="22"/>
                <w:szCs w:val="22"/>
                <w:lang w:val="es-BO"/>
              </w:rPr>
              <w:t>(</w:t>
            </w:r>
            <w:r w:rsidRPr="002E6F6D">
              <w:rPr>
                <w:b/>
                <w:bCs/>
                <w:sz w:val="22"/>
                <w:szCs w:val="22"/>
                <w:lang w:val="es-BO"/>
              </w:rPr>
              <w:t>segunda reunión</w:t>
            </w:r>
            <w:r w:rsidRPr="002E6F6D">
              <w:rPr>
                <w:sz w:val="22"/>
                <w:szCs w:val="22"/>
                <w:lang w:val="es-BO"/>
              </w:rPr>
              <w:t xml:space="preserve">) para preparar el borrador final del informe y el resumen para los encargados de formular políticas (13 de </w:t>
            </w:r>
            <w:r>
              <w:rPr>
                <w:sz w:val="22"/>
                <w:szCs w:val="22"/>
                <w:lang w:val="es-BO"/>
              </w:rPr>
              <w:t>enero</w:t>
            </w:r>
            <w:r w:rsidRPr="002E6F6D">
              <w:rPr>
                <w:sz w:val="22"/>
                <w:szCs w:val="22"/>
                <w:lang w:val="es-BO"/>
              </w:rPr>
              <w:t xml:space="preserve"> al 7 de </w:t>
            </w:r>
            <w:r>
              <w:rPr>
                <w:sz w:val="22"/>
                <w:szCs w:val="22"/>
                <w:lang w:val="es-BO"/>
              </w:rPr>
              <w:t>marzo</w:t>
            </w:r>
            <w:r w:rsidRPr="002E6F6D">
              <w:rPr>
                <w:sz w:val="22"/>
                <w:szCs w:val="22"/>
                <w:lang w:val="es-BO"/>
              </w:rPr>
              <w:t>).</w:t>
            </w:r>
          </w:p>
        </w:tc>
      </w:tr>
      <w:tr w:rsidR="00813AF1" w:rsidRPr="002E6F6D" w14:paraId="750AFA41" w14:textId="77777777" w:rsidTr="00D62346">
        <w:tc>
          <w:tcPr>
            <w:tcW w:w="867" w:type="dxa"/>
            <w:vMerge/>
            <w:vAlign w:val="center"/>
          </w:tcPr>
          <w:p w14:paraId="46DA5EDE" w14:textId="4D45433F" w:rsidR="00813AF1" w:rsidRPr="002E6F6D" w:rsidRDefault="00813AF1" w:rsidP="004256AA">
            <w:pPr>
              <w:rPr>
                <w:sz w:val="22"/>
                <w:szCs w:val="22"/>
                <w:lang w:val="es-BO"/>
              </w:rPr>
            </w:pPr>
          </w:p>
        </w:tc>
        <w:tc>
          <w:tcPr>
            <w:tcW w:w="1396" w:type="dxa"/>
            <w:vAlign w:val="center"/>
          </w:tcPr>
          <w:p w14:paraId="161BBD9E" w14:textId="77777777" w:rsidR="00813AF1" w:rsidRDefault="00813AF1" w:rsidP="004256AA">
            <w:pPr>
              <w:rPr>
                <w:sz w:val="22"/>
                <w:szCs w:val="22"/>
                <w:lang w:val="es-BO"/>
              </w:rPr>
            </w:pPr>
            <w:r>
              <w:rPr>
                <w:sz w:val="22"/>
                <w:szCs w:val="22"/>
                <w:lang w:val="es-BO"/>
              </w:rPr>
              <w:t>Primero/</w:t>
            </w:r>
          </w:p>
          <w:p w14:paraId="427649CF" w14:textId="61FEC7E9" w:rsidR="00813AF1" w:rsidRPr="002E6F6D" w:rsidRDefault="00813AF1" w:rsidP="004256AA">
            <w:pPr>
              <w:rPr>
                <w:sz w:val="22"/>
                <w:szCs w:val="22"/>
                <w:lang w:val="es-BO"/>
              </w:rPr>
            </w:pPr>
            <w:r>
              <w:rPr>
                <w:sz w:val="22"/>
                <w:szCs w:val="22"/>
                <w:lang w:val="es-BO"/>
              </w:rPr>
              <w:t>segundo</w:t>
            </w:r>
          </w:p>
        </w:tc>
        <w:tc>
          <w:tcPr>
            <w:tcW w:w="6231" w:type="dxa"/>
          </w:tcPr>
          <w:p w14:paraId="4EFA57E6" w14:textId="191330DB" w:rsidR="00813AF1" w:rsidRPr="002E6F6D" w:rsidRDefault="00813AF1" w:rsidP="004256AA">
            <w:pPr>
              <w:rPr>
                <w:sz w:val="22"/>
                <w:szCs w:val="22"/>
                <w:lang w:val="es-BO"/>
              </w:rPr>
            </w:pPr>
            <w:r w:rsidRPr="002E6F6D">
              <w:rPr>
                <w:sz w:val="22"/>
                <w:szCs w:val="22"/>
                <w:lang w:val="es-BO"/>
              </w:rPr>
              <w:t xml:space="preserve">El resumen para los encargados de formular políticas se traduce a los idiomas oficiales de la OTCA (8 de </w:t>
            </w:r>
            <w:r>
              <w:rPr>
                <w:sz w:val="22"/>
                <w:szCs w:val="22"/>
                <w:lang w:val="es-BO"/>
              </w:rPr>
              <w:t>marzo</w:t>
            </w:r>
            <w:r w:rsidRPr="002E6F6D">
              <w:rPr>
                <w:sz w:val="22"/>
                <w:szCs w:val="22"/>
                <w:lang w:val="es-BO"/>
              </w:rPr>
              <w:t xml:space="preserve"> a 5 de </w:t>
            </w:r>
            <w:r>
              <w:rPr>
                <w:sz w:val="22"/>
                <w:szCs w:val="22"/>
                <w:lang w:val="es-BO"/>
              </w:rPr>
              <w:t>abril</w:t>
            </w:r>
            <w:r w:rsidRPr="002E6F6D">
              <w:rPr>
                <w:sz w:val="22"/>
                <w:szCs w:val="22"/>
                <w:lang w:val="es-BO"/>
              </w:rPr>
              <w:t>).</w:t>
            </w:r>
          </w:p>
        </w:tc>
      </w:tr>
      <w:tr w:rsidR="00813AF1" w:rsidRPr="002E6F6D" w14:paraId="26C95BD4" w14:textId="77777777" w:rsidTr="00D62346">
        <w:tc>
          <w:tcPr>
            <w:tcW w:w="867" w:type="dxa"/>
            <w:vMerge/>
            <w:vAlign w:val="center"/>
          </w:tcPr>
          <w:p w14:paraId="7263EC72" w14:textId="7F431C03" w:rsidR="00813AF1" w:rsidRPr="002E6F6D" w:rsidRDefault="00813AF1" w:rsidP="004256AA">
            <w:pPr>
              <w:rPr>
                <w:sz w:val="22"/>
                <w:szCs w:val="22"/>
                <w:lang w:val="es-BO"/>
              </w:rPr>
            </w:pPr>
          </w:p>
        </w:tc>
        <w:tc>
          <w:tcPr>
            <w:tcW w:w="1396" w:type="dxa"/>
            <w:vMerge w:val="restart"/>
            <w:vAlign w:val="center"/>
          </w:tcPr>
          <w:p w14:paraId="421253B3" w14:textId="1045F6B0" w:rsidR="00813AF1" w:rsidRPr="002E6F6D" w:rsidRDefault="00813AF1" w:rsidP="004256AA">
            <w:pPr>
              <w:rPr>
                <w:sz w:val="22"/>
                <w:szCs w:val="22"/>
                <w:lang w:val="es-BO"/>
              </w:rPr>
            </w:pPr>
            <w:r>
              <w:rPr>
                <w:sz w:val="22"/>
                <w:szCs w:val="22"/>
                <w:lang w:val="es-BO"/>
              </w:rPr>
              <w:t>Segundo</w:t>
            </w:r>
          </w:p>
          <w:p w14:paraId="5421DDFB" w14:textId="67156918" w:rsidR="00813AF1" w:rsidRPr="002E6F6D" w:rsidRDefault="00813AF1" w:rsidP="004256AA">
            <w:pPr>
              <w:rPr>
                <w:sz w:val="22"/>
                <w:szCs w:val="22"/>
                <w:lang w:val="es-BO"/>
              </w:rPr>
            </w:pPr>
          </w:p>
          <w:p w14:paraId="7E72C566" w14:textId="3B6DAF89" w:rsidR="00813AF1" w:rsidRPr="002E6F6D" w:rsidRDefault="00813AF1" w:rsidP="004256AA">
            <w:pPr>
              <w:rPr>
                <w:sz w:val="22"/>
                <w:szCs w:val="22"/>
                <w:lang w:val="es-BO"/>
              </w:rPr>
            </w:pPr>
          </w:p>
        </w:tc>
        <w:tc>
          <w:tcPr>
            <w:tcW w:w="6231" w:type="dxa"/>
          </w:tcPr>
          <w:p w14:paraId="140BE127" w14:textId="1E7A7C2A" w:rsidR="00813AF1" w:rsidRPr="002E6F6D" w:rsidRDefault="00813AF1" w:rsidP="004256AA">
            <w:pPr>
              <w:rPr>
                <w:sz w:val="22"/>
                <w:szCs w:val="22"/>
                <w:lang w:val="es-BO"/>
              </w:rPr>
            </w:pPr>
            <w:r w:rsidRPr="002E6F6D">
              <w:rPr>
                <w:sz w:val="22"/>
                <w:szCs w:val="22"/>
                <w:lang w:val="es-BO"/>
              </w:rPr>
              <w:t xml:space="preserve">Revisión externa del borrador final del informe y el resumen para los encargados de formular políticas, mismos que se envían a los gobiernos y otras partes interesadas para su revisión final (6 de </w:t>
            </w:r>
            <w:r>
              <w:rPr>
                <w:sz w:val="22"/>
                <w:szCs w:val="22"/>
                <w:lang w:val="es-BO"/>
              </w:rPr>
              <w:t xml:space="preserve">abril </w:t>
            </w:r>
            <w:r w:rsidRPr="002E6F6D">
              <w:rPr>
                <w:sz w:val="22"/>
                <w:szCs w:val="22"/>
                <w:lang w:val="es-BO"/>
              </w:rPr>
              <w:t xml:space="preserve">a 6 de </w:t>
            </w:r>
            <w:r>
              <w:rPr>
                <w:sz w:val="22"/>
                <w:szCs w:val="22"/>
                <w:lang w:val="es-BO"/>
              </w:rPr>
              <w:t>junio</w:t>
            </w:r>
            <w:r w:rsidRPr="002E6F6D">
              <w:rPr>
                <w:sz w:val="22"/>
                <w:szCs w:val="22"/>
                <w:lang w:val="es-BO"/>
              </w:rPr>
              <w:t>).</w:t>
            </w:r>
          </w:p>
        </w:tc>
      </w:tr>
      <w:tr w:rsidR="00813AF1" w:rsidRPr="002E6F6D" w14:paraId="590FB01A" w14:textId="77777777" w:rsidTr="00D62346">
        <w:tc>
          <w:tcPr>
            <w:tcW w:w="867" w:type="dxa"/>
            <w:vMerge/>
            <w:vAlign w:val="center"/>
          </w:tcPr>
          <w:p w14:paraId="1B1571F5" w14:textId="4BE0591E" w:rsidR="00813AF1" w:rsidRPr="002E6F6D" w:rsidRDefault="00813AF1" w:rsidP="004256AA">
            <w:pPr>
              <w:rPr>
                <w:sz w:val="22"/>
                <w:szCs w:val="22"/>
                <w:lang w:val="es-BO"/>
              </w:rPr>
            </w:pPr>
          </w:p>
        </w:tc>
        <w:tc>
          <w:tcPr>
            <w:tcW w:w="1396" w:type="dxa"/>
            <w:vMerge/>
            <w:vAlign w:val="center"/>
          </w:tcPr>
          <w:p w14:paraId="20C17708" w14:textId="04C62F54" w:rsidR="00813AF1" w:rsidRPr="002E6F6D" w:rsidRDefault="00813AF1" w:rsidP="004256AA">
            <w:pPr>
              <w:rPr>
                <w:sz w:val="22"/>
                <w:szCs w:val="22"/>
                <w:lang w:val="es-BO"/>
              </w:rPr>
            </w:pPr>
          </w:p>
        </w:tc>
        <w:tc>
          <w:tcPr>
            <w:tcW w:w="6231" w:type="dxa"/>
          </w:tcPr>
          <w:p w14:paraId="39003C22" w14:textId="5BFA2A5A" w:rsidR="00813AF1" w:rsidRPr="002E6F6D" w:rsidRDefault="00813AF1" w:rsidP="004256AA">
            <w:pPr>
              <w:rPr>
                <w:sz w:val="22"/>
                <w:szCs w:val="22"/>
                <w:lang w:val="es-BO"/>
              </w:rPr>
            </w:pPr>
            <w:r w:rsidRPr="002E6F6D">
              <w:rPr>
                <w:sz w:val="22"/>
                <w:szCs w:val="22"/>
                <w:lang w:val="es-BO"/>
              </w:rPr>
              <w:t xml:space="preserve">Los gobiernos envían comentarios por escrito sobre el resumen para los encargados de formular políticas a la secretaría antes del 31 de </w:t>
            </w:r>
            <w:r>
              <w:rPr>
                <w:sz w:val="22"/>
                <w:szCs w:val="22"/>
                <w:lang w:val="es-BO"/>
              </w:rPr>
              <w:t>mayo</w:t>
            </w:r>
            <w:r w:rsidRPr="002E6F6D">
              <w:rPr>
                <w:sz w:val="22"/>
                <w:szCs w:val="22"/>
                <w:lang w:val="es-BO"/>
              </w:rPr>
              <w:t>.</w:t>
            </w:r>
          </w:p>
        </w:tc>
      </w:tr>
      <w:tr w:rsidR="00813AF1" w:rsidRPr="002E6F6D" w14:paraId="1965C74B" w14:textId="77777777" w:rsidTr="00D62346">
        <w:tc>
          <w:tcPr>
            <w:tcW w:w="867" w:type="dxa"/>
            <w:vMerge/>
            <w:vAlign w:val="center"/>
          </w:tcPr>
          <w:p w14:paraId="66972175" w14:textId="77777777" w:rsidR="00813AF1" w:rsidRPr="002E6F6D" w:rsidRDefault="00813AF1" w:rsidP="004256AA">
            <w:pPr>
              <w:rPr>
                <w:sz w:val="22"/>
                <w:szCs w:val="22"/>
                <w:lang w:val="es-BO"/>
              </w:rPr>
            </w:pPr>
          </w:p>
        </w:tc>
        <w:tc>
          <w:tcPr>
            <w:tcW w:w="1396" w:type="dxa"/>
            <w:vMerge/>
            <w:vAlign w:val="center"/>
          </w:tcPr>
          <w:p w14:paraId="4EEB766C" w14:textId="191CBC3C" w:rsidR="00813AF1" w:rsidRPr="002E6F6D" w:rsidRDefault="00813AF1" w:rsidP="004256AA">
            <w:pPr>
              <w:rPr>
                <w:sz w:val="22"/>
                <w:szCs w:val="22"/>
                <w:lang w:val="es-BO"/>
              </w:rPr>
            </w:pPr>
          </w:p>
        </w:tc>
        <w:tc>
          <w:tcPr>
            <w:tcW w:w="6231" w:type="dxa"/>
          </w:tcPr>
          <w:p w14:paraId="3A2ADCCF" w14:textId="2737A965" w:rsidR="00813AF1" w:rsidRPr="002E6F6D" w:rsidRDefault="00813AF1" w:rsidP="004256AA">
            <w:pPr>
              <w:rPr>
                <w:sz w:val="22"/>
                <w:szCs w:val="22"/>
                <w:lang w:val="es-BO"/>
              </w:rPr>
            </w:pPr>
            <w:r w:rsidRPr="002E6F6D">
              <w:rPr>
                <w:sz w:val="22"/>
                <w:szCs w:val="22"/>
                <w:lang w:val="es-BO"/>
              </w:rPr>
              <w:t xml:space="preserve">La Plenaria revisa y acepta el informe y aprueba el resumen para los encargados de formular políticas (a partir del 8 al 10 de </w:t>
            </w:r>
            <w:r>
              <w:rPr>
                <w:sz w:val="22"/>
                <w:szCs w:val="22"/>
                <w:lang w:val="es-BO"/>
              </w:rPr>
              <w:t>junio</w:t>
            </w:r>
            <w:r w:rsidRPr="002E6F6D">
              <w:rPr>
                <w:sz w:val="22"/>
                <w:szCs w:val="22"/>
                <w:lang w:val="es-BO"/>
              </w:rPr>
              <w:t>).</w:t>
            </w:r>
          </w:p>
        </w:tc>
      </w:tr>
    </w:tbl>
    <w:p w14:paraId="3A0DC161" w14:textId="77777777" w:rsidR="008B6D2E" w:rsidRPr="002E6F6D" w:rsidRDefault="008B6D2E" w:rsidP="001B5CDD">
      <w:pPr>
        <w:rPr>
          <w:lang w:val="es-BO"/>
        </w:rPr>
      </w:pPr>
    </w:p>
    <w:sectPr w:rsidR="008B6D2E" w:rsidRPr="002E6F6D">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8DAE6" w14:textId="77777777" w:rsidR="00C672B5" w:rsidRDefault="00C672B5" w:rsidP="000478AE">
      <w:r>
        <w:separator/>
      </w:r>
    </w:p>
  </w:endnote>
  <w:endnote w:type="continuationSeparator" w:id="0">
    <w:p w14:paraId="553948DD" w14:textId="77777777" w:rsidR="00C672B5" w:rsidRDefault="00C672B5" w:rsidP="0004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6970689"/>
      <w:docPartObj>
        <w:docPartGallery w:val="Page Numbers (Bottom of Page)"/>
        <w:docPartUnique/>
      </w:docPartObj>
    </w:sdtPr>
    <w:sdtEndPr>
      <w:rPr>
        <w:rFonts w:ascii="Times New Roman" w:hAnsi="Times New Roman" w:cs="Times New Roman"/>
      </w:rPr>
    </w:sdtEndPr>
    <w:sdtContent>
      <w:p w14:paraId="120F40A6" w14:textId="3EDBEECC" w:rsidR="00C83418" w:rsidRPr="000478AE" w:rsidRDefault="00C83418">
        <w:pPr>
          <w:pStyle w:val="Rodap"/>
          <w:jc w:val="center"/>
          <w:rPr>
            <w:rFonts w:ascii="Times New Roman" w:hAnsi="Times New Roman" w:cs="Times New Roman"/>
          </w:rPr>
        </w:pPr>
        <w:r w:rsidRPr="000478AE">
          <w:rPr>
            <w:rFonts w:ascii="Times New Roman" w:hAnsi="Times New Roman" w:cs="Times New Roman"/>
          </w:rPr>
          <w:fldChar w:fldCharType="begin"/>
        </w:r>
        <w:r w:rsidRPr="000478AE">
          <w:rPr>
            <w:rFonts w:ascii="Times New Roman" w:hAnsi="Times New Roman" w:cs="Times New Roman"/>
          </w:rPr>
          <w:instrText>PAGE   \* MERGEFORMAT</w:instrText>
        </w:r>
        <w:r w:rsidRPr="000478AE">
          <w:rPr>
            <w:rFonts w:ascii="Times New Roman" w:hAnsi="Times New Roman" w:cs="Times New Roman"/>
          </w:rPr>
          <w:fldChar w:fldCharType="separate"/>
        </w:r>
        <w:r w:rsidR="00271456">
          <w:rPr>
            <w:rFonts w:ascii="Times New Roman" w:hAnsi="Times New Roman" w:cs="Times New Roman"/>
            <w:noProof/>
          </w:rPr>
          <w:t>1</w:t>
        </w:r>
        <w:r w:rsidRPr="000478AE">
          <w:rPr>
            <w:rFonts w:ascii="Times New Roman" w:hAnsi="Times New Roman" w:cs="Times New Roman"/>
          </w:rPr>
          <w:fldChar w:fldCharType="end"/>
        </w:r>
      </w:p>
    </w:sdtContent>
  </w:sdt>
  <w:p w14:paraId="27356282" w14:textId="77777777" w:rsidR="00C83418" w:rsidRDefault="00C8341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55B8F" w14:textId="77777777" w:rsidR="00C672B5" w:rsidRDefault="00C672B5" w:rsidP="000478AE">
      <w:r>
        <w:separator/>
      </w:r>
    </w:p>
  </w:footnote>
  <w:footnote w:type="continuationSeparator" w:id="0">
    <w:p w14:paraId="6D569990" w14:textId="77777777" w:rsidR="00C672B5" w:rsidRDefault="00C672B5" w:rsidP="00047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A3112"/>
    <w:multiLevelType w:val="hybridMultilevel"/>
    <w:tmpl w:val="87368B9E"/>
    <w:lvl w:ilvl="0" w:tplc="D01C6B6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545706"/>
    <w:multiLevelType w:val="hybridMultilevel"/>
    <w:tmpl w:val="0010E25A"/>
    <w:lvl w:ilvl="0" w:tplc="0416000F">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6583866"/>
    <w:multiLevelType w:val="hybridMultilevel"/>
    <w:tmpl w:val="8D7A026C"/>
    <w:lvl w:ilvl="0" w:tplc="437ECEC2">
      <w:start w:val="2"/>
      <w:numFmt w:val="decimal"/>
      <w:lvlText w:val="%1."/>
      <w:lvlJc w:val="left"/>
      <w:pPr>
        <w:ind w:left="360" w:hanging="360"/>
      </w:pPr>
      <w:rPr>
        <w:rFonts w:ascii="Times New Roman" w:hAnsi="Times New Roman" w:hint="default"/>
        <w:b w:val="0"/>
        <w:strike w:val="0"/>
        <w:color w:val="auto"/>
        <w:sz w:val="22"/>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3F73535C"/>
    <w:multiLevelType w:val="hybridMultilevel"/>
    <w:tmpl w:val="5E2897CA"/>
    <w:lvl w:ilvl="0" w:tplc="13027D18">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5E0A42"/>
    <w:multiLevelType w:val="hybridMultilevel"/>
    <w:tmpl w:val="44C4796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BA36C3C"/>
    <w:multiLevelType w:val="hybridMultilevel"/>
    <w:tmpl w:val="36769FF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FEE206F"/>
    <w:multiLevelType w:val="hybridMultilevel"/>
    <w:tmpl w:val="E2B857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639"/>
    <w:rsid w:val="00000144"/>
    <w:rsid w:val="0001698F"/>
    <w:rsid w:val="00027092"/>
    <w:rsid w:val="00031AE5"/>
    <w:rsid w:val="00035067"/>
    <w:rsid w:val="000366D0"/>
    <w:rsid w:val="00041D28"/>
    <w:rsid w:val="000478AE"/>
    <w:rsid w:val="00070519"/>
    <w:rsid w:val="00073261"/>
    <w:rsid w:val="000767E5"/>
    <w:rsid w:val="000853B6"/>
    <w:rsid w:val="00092A2D"/>
    <w:rsid w:val="000A3B25"/>
    <w:rsid w:val="000B1F7A"/>
    <w:rsid w:val="000C0881"/>
    <w:rsid w:val="000C530F"/>
    <w:rsid w:val="000C744E"/>
    <w:rsid w:val="000E3A58"/>
    <w:rsid w:val="00125A28"/>
    <w:rsid w:val="001268B6"/>
    <w:rsid w:val="00126F99"/>
    <w:rsid w:val="00134F0D"/>
    <w:rsid w:val="001432D6"/>
    <w:rsid w:val="00154C0E"/>
    <w:rsid w:val="00181D76"/>
    <w:rsid w:val="00184F17"/>
    <w:rsid w:val="00194220"/>
    <w:rsid w:val="001A0259"/>
    <w:rsid w:val="001A345C"/>
    <w:rsid w:val="001B52DC"/>
    <w:rsid w:val="001B5CDD"/>
    <w:rsid w:val="001B70B6"/>
    <w:rsid w:val="001C212B"/>
    <w:rsid w:val="001C2368"/>
    <w:rsid w:val="001D3CC0"/>
    <w:rsid w:val="001F4F07"/>
    <w:rsid w:val="00204481"/>
    <w:rsid w:val="00220A05"/>
    <w:rsid w:val="0022264C"/>
    <w:rsid w:val="00232227"/>
    <w:rsid w:val="00236B59"/>
    <w:rsid w:val="002516BA"/>
    <w:rsid w:val="00271456"/>
    <w:rsid w:val="0028796D"/>
    <w:rsid w:val="00292033"/>
    <w:rsid w:val="002B3AEE"/>
    <w:rsid w:val="002C2249"/>
    <w:rsid w:val="002C4E84"/>
    <w:rsid w:val="002C7837"/>
    <w:rsid w:val="002E6F6D"/>
    <w:rsid w:val="003040D8"/>
    <w:rsid w:val="00306721"/>
    <w:rsid w:val="00311868"/>
    <w:rsid w:val="00325315"/>
    <w:rsid w:val="0032566D"/>
    <w:rsid w:val="0033213B"/>
    <w:rsid w:val="00352FC1"/>
    <w:rsid w:val="0036233E"/>
    <w:rsid w:val="003664C8"/>
    <w:rsid w:val="00383C13"/>
    <w:rsid w:val="003879E1"/>
    <w:rsid w:val="003A5D19"/>
    <w:rsid w:val="003D2B80"/>
    <w:rsid w:val="003F03B9"/>
    <w:rsid w:val="003F5E6B"/>
    <w:rsid w:val="004046B3"/>
    <w:rsid w:val="00406EC6"/>
    <w:rsid w:val="00410713"/>
    <w:rsid w:val="00411621"/>
    <w:rsid w:val="00415F02"/>
    <w:rsid w:val="00422C8F"/>
    <w:rsid w:val="004256AA"/>
    <w:rsid w:val="00426B66"/>
    <w:rsid w:val="00427142"/>
    <w:rsid w:val="00440578"/>
    <w:rsid w:val="00450DBB"/>
    <w:rsid w:val="00457757"/>
    <w:rsid w:val="00470999"/>
    <w:rsid w:val="0048073C"/>
    <w:rsid w:val="004813BC"/>
    <w:rsid w:val="00491EF9"/>
    <w:rsid w:val="004A3C13"/>
    <w:rsid w:val="004A7B85"/>
    <w:rsid w:val="004F3230"/>
    <w:rsid w:val="004F4415"/>
    <w:rsid w:val="004F7A42"/>
    <w:rsid w:val="005049FF"/>
    <w:rsid w:val="0052438A"/>
    <w:rsid w:val="00564489"/>
    <w:rsid w:val="00564736"/>
    <w:rsid w:val="005748C3"/>
    <w:rsid w:val="005B0143"/>
    <w:rsid w:val="005B1706"/>
    <w:rsid w:val="005C7B3A"/>
    <w:rsid w:val="005E5334"/>
    <w:rsid w:val="005F0C6E"/>
    <w:rsid w:val="00603B8C"/>
    <w:rsid w:val="006045FA"/>
    <w:rsid w:val="00633241"/>
    <w:rsid w:val="006538CB"/>
    <w:rsid w:val="00665FDD"/>
    <w:rsid w:val="006948BD"/>
    <w:rsid w:val="006B1CCC"/>
    <w:rsid w:val="006B1E8B"/>
    <w:rsid w:val="006B23AD"/>
    <w:rsid w:val="006D6FF2"/>
    <w:rsid w:val="006E225E"/>
    <w:rsid w:val="00700A66"/>
    <w:rsid w:val="007133CD"/>
    <w:rsid w:val="0071758B"/>
    <w:rsid w:val="0072373D"/>
    <w:rsid w:val="00724624"/>
    <w:rsid w:val="00726FD5"/>
    <w:rsid w:val="007312C3"/>
    <w:rsid w:val="00742F33"/>
    <w:rsid w:val="007442CF"/>
    <w:rsid w:val="00771A82"/>
    <w:rsid w:val="00780ED3"/>
    <w:rsid w:val="00782BEA"/>
    <w:rsid w:val="007C1DF6"/>
    <w:rsid w:val="007C23C1"/>
    <w:rsid w:val="007C3A36"/>
    <w:rsid w:val="007C3DD5"/>
    <w:rsid w:val="007C4741"/>
    <w:rsid w:val="007D45CF"/>
    <w:rsid w:val="007D4A67"/>
    <w:rsid w:val="007E007A"/>
    <w:rsid w:val="00805B60"/>
    <w:rsid w:val="00813AF1"/>
    <w:rsid w:val="00853B20"/>
    <w:rsid w:val="00854115"/>
    <w:rsid w:val="0087018D"/>
    <w:rsid w:val="008736C7"/>
    <w:rsid w:val="00876489"/>
    <w:rsid w:val="0088457F"/>
    <w:rsid w:val="008845FD"/>
    <w:rsid w:val="008A2965"/>
    <w:rsid w:val="008B6D2E"/>
    <w:rsid w:val="008C76F7"/>
    <w:rsid w:val="008E3C59"/>
    <w:rsid w:val="008E7BB4"/>
    <w:rsid w:val="008E7EEB"/>
    <w:rsid w:val="00900AC3"/>
    <w:rsid w:val="009016E5"/>
    <w:rsid w:val="00911472"/>
    <w:rsid w:val="009155D3"/>
    <w:rsid w:val="009264CC"/>
    <w:rsid w:val="0093242A"/>
    <w:rsid w:val="00936D6C"/>
    <w:rsid w:val="009379B4"/>
    <w:rsid w:val="00940F47"/>
    <w:rsid w:val="00946097"/>
    <w:rsid w:val="00955B8A"/>
    <w:rsid w:val="00960906"/>
    <w:rsid w:val="00970DB5"/>
    <w:rsid w:val="00983BC6"/>
    <w:rsid w:val="00984C4F"/>
    <w:rsid w:val="009A067D"/>
    <w:rsid w:val="009A11A7"/>
    <w:rsid w:val="009C1DCB"/>
    <w:rsid w:val="009E5060"/>
    <w:rsid w:val="009F06AA"/>
    <w:rsid w:val="00A06A0F"/>
    <w:rsid w:val="00A07A49"/>
    <w:rsid w:val="00A373F3"/>
    <w:rsid w:val="00A45888"/>
    <w:rsid w:val="00A55567"/>
    <w:rsid w:val="00A629BF"/>
    <w:rsid w:val="00A654D6"/>
    <w:rsid w:val="00A77645"/>
    <w:rsid w:val="00AB7790"/>
    <w:rsid w:val="00AD72F8"/>
    <w:rsid w:val="00AE5933"/>
    <w:rsid w:val="00AE653B"/>
    <w:rsid w:val="00B01A6A"/>
    <w:rsid w:val="00B04C6D"/>
    <w:rsid w:val="00B05AF7"/>
    <w:rsid w:val="00B10A7D"/>
    <w:rsid w:val="00B10EC7"/>
    <w:rsid w:val="00B16B4D"/>
    <w:rsid w:val="00B214D5"/>
    <w:rsid w:val="00B360BA"/>
    <w:rsid w:val="00B50A72"/>
    <w:rsid w:val="00B521D4"/>
    <w:rsid w:val="00B75C3A"/>
    <w:rsid w:val="00B77905"/>
    <w:rsid w:val="00BB1C47"/>
    <w:rsid w:val="00BC2708"/>
    <w:rsid w:val="00BC345D"/>
    <w:rsid w:val="00BF4945"/>
    <w:rsid w:val="00C1288B"/>
    <w:rsid w:val="00C12EA7"/>
    <w:rsid w:val="00C41EC2"/>
    <w:rsid w:val="00C471FC"/>
    <w:rsid w:val="00C65F8D"/>
    <w:rsid w:val="00C672B5"/>
    <w:rsid w:val="00C74D59"/>
    <w:rsid w:val="00C74F7F"/>
    <w:rsid w:val="00C83418"/>
    <w:rsid w:val="00CA238C"/>
    <w:rsid w:val="00CA7391"/>
    <w:rsid w:val="00CC6B87"/>
    <w:rsid w:val="00CD6D24"/>
    <w:rsid w:val="00CE683B"/>
    <w:rsid w:val="00CF44AC"/>
    <w:rsid w:val="00D01454"/>
    <w:rsid w:val="00D03DC4"/>
    <w:rsid w:val="00D205A8"/>
    <w:rsid w:val="00D37E48"/>
    <w:rsid w:val="00D541D3"/>
    <w:rsid w:val="00D62346"/>
    <w:rsid w:val="00DA5057"/>
    <w:rsid w:val="00DB29B5"/>
    <w:rsid w:val="00DB497B"/>
    <w:rsid w:val="00DC7795"/>
    <w:rsid w:val="00DF4FC1"/>
    <w:rsid w:val="00DF572A"/>
    <w:rsid w:val="00E0141D"/>
    <w:rsid w:val="00E201D4"/>
    <w:rsid w:val="00E21C10"/>
    <w:rsid w:val="00E23FBC"/>
    <w:rsid w:val="00E2770C"/>
    <w:rsid w:val="00E31F32"/>
    <w:rsid w:val="00E33F6F"/>
    <w:rsid w:val="00E3450D"/>
    <w:rsid w:val="00E40633"/>
    <w:rsid w:val="00E50139"/>
    <w:rsid w:val="00E6271C"/>
    <w:rsid w:val="00E747F8"/>
    <w:rsid w:val="00E97F45"/>
    <w:rsid w:val="00EA0C63"/>
    <w:rsid w:val="00EB6030"/>
    <w:rsid w:val="00EC7C3C"/>
    <w:rsid w:val="00ED04FC"/>
    <w:rsid w:val="00ED7C57"/>
    <w:rsid w:val="00EF3A00"/>
    <w:rsid w:val="00F011D9"/>
    <w:rsid w:val="00F04A94"/>
    <w:rsid w:val="00F2531C"/>
    <w:rsid w:val="00F41073"/>
    <w:rsid w:val="00F60E22"/>
    <w:rsid w:val="00F63B32"/>
    <w:rsid w:val="00F71639"/>
    <w:rsid w:val="00F8330A"/>
    <w:rsid w:val="00FB0493"/>
    <w:rsid w:val="00FB21B2"/>
    <w:rsid w:val="00FB2D60"/>
    <w:rsid w:val="00FE111E"/>
    <w:rsid w:val="00FE13F3"/>
    <w:rsid w:val="00FE4F3B"/>
    <w:rsid w:val="00FF65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34A44"/>
  <w15:docId w15:val="{88D077C0-43AC-463C-905E-5A4E63F5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8BD"/>
    <w:pPr>
      <w:spacing w:after="0" w:line="240" w:lineRule="auto"/>
    </w:pPr>
    <w:rPr>
      <w:rFonts w:ascii="Times New Roman" w:hAnsi="Times New Roman" w:cs="Times New Roman"/>
      <w:sz w:val="24"/>
      <w:szCs w:val="24"/>
      <w:lang w:val="es-ES_tradnl" w:eastAsia="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7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C76F7"/>
    <w:pPr>
      <w:spacing w:after="160" w:line="259" w:lineRule="auto"/>
      <w:ind w:left="720"/>
      <w:contextualSpacing/>
    </w:pPr>
    <w:rPr>
      <w:rFonts w:asciiTheme="minorHAnsi" w:hAnsiTheme="minorHAnsi" w:cstheme="minorBidi"/>
      <w:sz w:val="22"/>
      <w:szCs w:val="22"/>
      <w:lang w:val="pt-BR" w:eastAsia="en-US"/>
    </w:rPr>
  </w:style>
  <w:style w:type="paragraph" w:styleId="Cabealho">
    <w:name w:val="header"/>
    <w:basedOn w:val="Normal"/>
    <w:link w:val="CabealhoChar"/>
    <w:uiPriority w:val="99"/>
    <w:unhideWhenUsed/>
    <w:rsid w:val="000478AE"/>
    <w:pPr>
      <w:tabs>
        <w:tab w:val="center" w:pos="4252"/>
        <w:tab w:val="right" w:pos="8504"/>
      </w:tabs>
    </w:pPr>
    <w:rPr>
      <w:rFonts w:asciiTheme="minorHAnsi" w:hAnsiTheme="minorHAnsi" w:cstheme="minorBidi"/>
      <w:sz w:val="22"/>
      <w:szCs w:val="22"/>
      <w:lang w:val="pt-BR" w:eastAsia="en-US"/>
    </w:rPr>
  </w:style>
  <w:style w:type="character" w:customStyle="1" w:styleId="CabealhoChar">
    <w:name w:val="Cabeçalho Char"/>
    <w:basedOn w:val="Fontepargpadro"/>
    <w:link w:val="Cabealho"/>
    <w:uiPriority w:val="99"/>
    <w:rsid w:val="000478AE"/>
  </w:style>
  <w:style w:type="paragraph" w:styleId="Rodap">
    <w:name w:val="footer"/>
    <w:basedOn w:val="Normal"/>
    <w:link w:val="RodapChar"/>
    <w:uiPriority w:val="99"/>
    <w:unhideWhenUsed/>
    <w:rsid w:val="000478AE"/>
    <w:pPr>
      <w:tabs>
        <w:tab w:val="center" w:pos="4252"/>
        <w:tab w:val="right" w:pos="8504"/>
      </w:tabs>
    </w:pPr>
    <w:rPr>
      <w:rFonts w:asciiTheme="minorHAnsi" w:hAnsiTheme="minorHAnsi" w:cstheme="minorBidi"/>
      <w:sz w:val="22"/>
      <w:szCs w:val="22"/>
      <w:lang w:val="pt-BR" w:eastAsia="en-US"/>
    </w:rPr>
  </w:style>
  <w:style w:type="character" w:customStyle="1" w:styleId="RodapChar">
    <w:name w:val="Rodapé Char"/>
    <w:basedOn w:val="Fontepargpadro"/>
    <w:link w:val="Rodap"/>
    <w:uiPriority w:val="99"/>
    <w:rsid w:val="000478AE"/>
  </w:style>
  <w:style w:type="paragraph" w:styleId="Textodebalo">
    <w:name w:val="Balloon Text"/>
    <w:basedOn w:val="Normal"/>
    <w:link w:val="TextodebaloChar"/>
    <w:uiPriority w:val="99"/>
    <w:semiHidden/>
    <w:unhideWhenUsed/>
    <w:rsid w:val="00FE4F3B"/>
    <w:rPr>
      <w:sz w:val="18"/>
      <w:szCs w:val="18"/>
      <w:lang w:val="pt-BR" w:eastAsia="en-US"/>
    </w:rPr>
  </w:style>
  <w:style w:type="character" w:customStyle="1" w:styleId="TextodebaloChar">
    <w:name w:val="Texto de balão Char"/>
    <w:basedOn w:val="Fontepargpadro"/>
    <w:link w:val="Textodebalo"/>
    <w:uiPriority w:val="99"/>
    <w:semiHidden/>
    <w:rsid w:val="00FE4F3B"/>
    <w:rPr>
      <w:rFonts w:ascii="Times New Roman" w:hAnsi="Times New Roman" w:cs="Times New Roman"/>
      <w:sz w:val="18"/>
      <w:szCs w:val="18"/>
    </w:rPr>
  </w:style>
  <w:style w:type="character" w:styleId="Refdecomentrio">
    <w:name w:val="annotation reference"/>
    <w:basedOn w:val="Fontepargpadro"/>
    <w:uiPriority w:val="99"/>
    <w:semiHidden/>
    <w:unhideWhenUsed/>
    <w:rsid w:val="00960906"/>
    <w:rPr>
      <w:sz w:val="18"/>
      <w:szCs w:val="18"/>
    </w:rPr>
  </w:style>
  <w:style w:type="paragraph" w:styleId="Textodecomentrio">
    <w:name w:val="annotation text"/>
    <w:basedOn w:val="Normal"/>
    <w:link w:val="TextodecomentrioChar"/>
    <w:uiPriority w:val="99"/>
    <w:semiHidden/>
    <w:unhideWhenUsed/>
    <w:rsid w:val="00960906"/>
  </w:style>
  <w:style w:type="character" w:customStyle="1" w:styleId="TextodecomentrioChar">
    <w:name w:val="Texto de comentário Char"/>
    <w:basedOn w:val="Fontepargpadro"/>
    <w:link w:val="Textodecomentrio"/>
    <w:uiPriority w:val="99"/>
    <w:semiHidden/>
    <w:rsid w:val="00960906"/>
    <w:rPr>
      <w:rFonts w:ascii="Times New Roman" w:hAnsi="Times New Roman" w:cs="Times New Roman"/>
      <w:sz w:val="24"/>
      <w:szCs w:val="24"/>
      <w:lang w:val="es-ES_tradnl" w:eastAsia="es-ES_tradnl"/>
    </w:rPr>
  </w:style>
  <w:style w:type="paragraph" w:styleId="Assuntodocomentrio">
    <w:name w:val="annotation subject"/>
    <w:basedOn w:val="Textodecomentrio"/>
    <w:next w:val="Textodecomentrio"/>
    <w:link w:val="AssuntodocomentrioChar"/>
    <w:uiPriority w:val="99"/>
    <w:semiHidden/>
    <w:unhideWhenUsed/>
    <w:rsid w:val="00960906"/>
    <w:rPr>
      <w:b/>
      <w:bCs/>
      <w:sz w:val="20"/>
      <w:szCs w:val="20"/>
    </w:rPr>
  </w:style>
  <w:style w:type="character" w:customStyle="1" w:styleId="AssuntodocomentrioChar">
    <w:name w:val="Assunto do comentário Char"/>
    <w:basedOn w:val="TextodecomentrioChar"/>
    <w:link w:val="Assuntodocomentrio"/>
    <w:uiPriority w:val="99"/>
    <w:semiHidden/>
    <w:rsid w:val="00960906"/>
    <w:rPr>
      <w:rFonts w:ascii="Times New Roman" w:hAnsi="Times New Roman" w:cs="Times New Roman"/>
      <w:b/>
      <w:bCs/>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61919">
      <w:bodyDiv w:val="1"/>
      <w:marLeft w:val="0"/>
      <w:marRight w:val="0"/>
      <w:marTop w:val="0"/>
      <w:marBottom w:val="0"/>
      <w:divBdr>
        <w:top w:val="none" w:sz="0" w:space="0" w:color="auto"/>
        <w:left w:val="none" w:sz="0" w:space="0" w:color="auto"/>
        <w:bottom w:val="none" w:sz="0" w:space="0" w:color="auto"/>
        <w:right w:val="none" w:sz="0" w:space="0" w:color="auto"/>
      </w:divBdr>
    </w:div>
    <w:div w:id="244730911">
      <w:bodyDiv w:val="1"/>
      <w:marLeft w:val="0"/>
      <w:marRight w:val="0"/>
      <w:marTop w:val="0"/>
      <w:marBottom w:val="0"/>
      <w:divBdr>
        <w:top w:val="none" w:sz="0" w:space="0" w:color="auto"/>
        <w:left w:val="none" w:sz="0" w:space="0" w:color="auto"/>
        <w:bottom w:val="none" w:sz="0" w:space="0" w:color="auto"/>
        <w:right w:val="none" w:sz="0" w:space="0" w:color="auto"/>
      </w:divBdr>
    </w:div>
    <w:div w:id="42272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7</Pages>
  <Words>3815</Words>
  <Characters>20603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Pacheco</dc:creator>
  <cp:keywords/>
  <dc:description/>
  <cp:lastModifiedBy>Diego Pacheco</cp:lastModifiedBy>
  <cp:revision>60</cp:revision>
  <dcterms:created xsi:type="dcterms:W3CDTF">2020-06-30T22:49:00Z</dcterms:created>
  <dcterms:modified xsi:type="dcterms:W3CDTF">2020-11-09T16:15:00Z</dcterms:modified>
</cp:coreProperties>
</file>